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4809A8" w14:textId="735D7883" w:rsidR="00541F4F" w:rsidRPr="00B221C0" w:rsidRDefault="00B221C0" w:rsidP="00B221C0">
      <w:pPr>
        <w:pStyle w:val="NoSpacing"/>
        <w:jc w:val="both"/>
        <w:rPr>
          <w:rFonts w:ascii="Times New Roman" w:hAnsi="Times New Roman" w:cs="Times New Roman"/>
          <w:b/>
          <w:sz w:val="28"/>
          <w:szCs w:val="28"/>
        </w:rPr>
      </w:pPr>
      <w:r w:rsidRPr="00B221C0">
        <w:rPr>
          <w:rFonts w:ascii="Times New Roman" w:hAnsi="Times New Roman" w:cs="Times New Roman"/>
          <w:b/>
          <w:sz w:val="28"/>
          <w:szCs w:val="28"/>
        </w:rPr>
        <w:t xml:space="preserve">Nanostructured platform </w:t>
      </w:r>
      <w:r>
        <w:rPr>
          <w:rFonts w:ascii="Times New Roman" w:hAnsi="Times New Roman" w:cs="Times New Roman"/>
          <w:b/>
          <w:sz w:val="28"/>
          <w:szCs w:val="28"/>
        </w:rPr>
        <w:t xml:space="preserve">for the sensitive determination </w:t>
      </w:r>
      <w:r w:rsidRPr="00B221C0">
        <w:rPr>
          <w:rFonts w:ascii="Times New Roman" w:hAnsi="Times New Roman" w:cs="Times New Roman"/>
          <w:b/>
          <w:sz w:val="28"/>
          <w:szCs w:val="28"/>
        </w:rPr>
        <w:t>of paraoxon by using an</w:t>
      </w:r>
      <w:r>
        <w:rPr>
          <w:rFonts w:ascii="Times New Roman" w:hAnsi="Times New Roman" w:cs="Times New Roman"/>
          <w:b/>
          <w:sz w:val="28"/>
          <w:szCs w:val="28"/>
        </w:rPr>
        <w:t xml:space="preserve"> electrode modified with a film </w:t>
      </w:r>
      <w:r w:rsidRPr="00B221C0">
        <w:rPr>
          <w:rFonts w:ascii="Times New Roman" w:hAnsi="Times New Roman" w:cs="Times New Roman"/>
          <w:b/>
          <w:sz w:val="28"/>
          <w:szCs w:val="28"/>
        </w:rPr>
        <w:t>of graphite-immobilized bismuth</w:t>
      </w:r>
    </w:p>
    <w:p w14:paraId="6B34BA82" w14:textId="77777777" w:rsidR="00B221C0" w:rsidRDefault="00B221C0" w:rsidP="00541F4F">
      <w:pPr>
        <w:pStyle w:val="NoSpacing"/>
        <w:jc w:val="both"/>
        <w:rPr>
          <w:rFonts w:ascii="Times New Roman" w:hAnsi="Times New Roman" w:cs="Times New Roman"/>
          <w:b/>
          <w:sz w:val="24"/>
          <w:szCs w:val="24"/>
        </w:rPr>
      </w:pPr>
    </w:p>
    <w:p w14:paraId="504809A9" w14:textId="63E53525" w:rsidR="00717ADC" w:rsidRPr="00DF6DDC" w:rsidRDefault="00717ADC" w:rsidP="00541F4F">
      <w:pPr>
        <w:pStyle w:val="NoSpacing"/>
        <w:jc w:val="both"/>
        <w:rPr>
          <w:rFonts w:ascii="Times New Roman" w:hAnsi="Times New Roman" w:cs="Times New Roman"/>
          <w:b/>
          <w:sz w:val="24"/>
          <w:szCs w:val="24"/>
          <w:lang w:val="es-MX"/>
        </w:rPr>
      </w:pPr>
      <w:r w:rsidRPr="00DF6DDC">
        <w:rPr>
          <w:rFonts w:ascii="Times New Roman" w:hAnsi="Times New Roman" w:cs="Times New Roman"/>
          <w:b/>
          <w:sz w:val="24"/>
          <w:szCs w:val="24"/>
          <w:lang w:val="es-MX"/>
        </w:rPr>
        <w:t>M. Stoytcheva</w:t>
      </w:r>
      <w:r w:rsidR="00F72433" w:rsidRPr="00DF6DDC">
        <w:rPr>
          <w:rFonts w:ascii="Times New Roman" w:hAnsi="Times New Roman" w:cs="Times New Roman"/>
          <w:b/>
          <w:sz w:val="24"/>
          <w:szCs w:val="24"/>
          <w:vertAlign w:val="superscript"/>
          <w:lang w:val="es-MX"/>
        </w:rPr>
        <w:t>1</w:t>
      </w:r>
      <w:r w:rsidR="005804C1" w:rsidRPr="00314E4C">
        <w:rPr>
          <w:rStyle w:val="FootnoteReference"/>
          <w:rFonts w:ascii="Times New Roman" w:hAnsi="Times New Roman" w:cs="Times New Roman"/>
          <w:b/>
          <w:sz w:val="24"/>
          <w:szCs w:val="24"/>
        </w:rPr>
        <w:footnoteReference w:id="1"/>
      </w:r>
      <w:r w:rsidRPr="00DF6DDC">
        <w:rPr>
          <w:rFonts w:ascii="Times New Roman" w:hAnsi="Times New Roman" w:cs="Times New Roman"/>
          <w:b/>
          <w:sz w:val="24"/>
          <w:szCs w:val="24"/>
          <w:lang w:val="es-MX"/>
        </w:rPr>
        <w:t>, R. Zlatev</w:t>
      </w:r>
      <w:r w:rsidR="00F72433" w:rsidRPr="00DF6DDC">
        <w:rPr>
          <w:rFonts w:ascii="Times New Roman" w:hAnsi="Times New Roman" w:cs="Times New Roman"/>
          <w:b/>
          <w:sz w:val="24"/>
          <w:szCs w:val="24"/>
          <w:vertAlign w:val="superscript"/>
          <w:lang w:val="es-MX"/>
        </w:rPr>
        <w:t>1</w:t>
      </w:r>
      <w:r w:rsidRPr="00DF6DDC">
        <w:rPr>
          <w:rFonts w:ascii="Times New Roman" w:hAnsi="Times New Roman" w:cs="Times New Roman"/>
          <w:b/>
          <w:sz w:val="24"/>
          <w:szCs w:val="24"/>
          <w:lang w:val="es-MX"/>
        </w:rPr>
        <w:t>, G. Montero</w:t>
      </w:r>
      <w:r w:rsidR="00F72433" w:rsidRPr="00DF6DDC">
        <w:rPr>
          <w:rFonts w:ascii="Times New Roman" w:hAnsi="Times New Roman" w:cs="Times New Roman"/>
          <w:b/>
          <w:sz w:val="24"/>
          <w:szCs w:val="24"/>
          <w:vertAlign w:val="superscript"/>
          <w:lang w:val="es-MX"/>
        </w:rPr>
        <w:t>1</w:t>
      </w:r>
      <w:r w:rsidRPr="00DF6DDC">
        <w:rPr>
          <w:rFonts w:ascii="Times New Roman" w:hAnsi="Times New Roman" w:cs="Times New Roman"/>
          <w:b/>
          <w:sz w:val="24"/>
          <w:szCs w:val="24"/>
          <w:lang w:val="es-MX"/>
        </w:rPr>
        <w:t>, Z. Velkova</w:t>
      </w:r>
      <w:r w:rsidR="00F72433" w:rsidRPr="00DF6DDC">
        <w:rPr>
          <w:rFonts w:ascii="Times New Roman" w:hAnsi="Times New Roman" w:cs="Times New Roman"/>
          <w:b/>
          <w:sz w:val="24"/>
          <w:szCs w:val="24"/>
          <w:vertAlign w:val="superscript"/>
          <w:lang w:val="es-MX"/>
        </w:rPr>
        <w:t>2</w:t>
      </w:r>
      <w:r w:rsidRPr="00DF6DDC">
        <w:rPr>
          <w:rFonts w:ascii="Times New Roman" w:hAnsi="Times New Roman" w:cs="Times New Roman"/>
          <w:b/>
          <w:sz w:val="24"/>
          <w:szCs w:val="24"/>
          <w:lang w:val="es-MX"/>
        </w:rPr>
        <w:t>, V. Gochev</w:t>
      </w:r>
      <w:r w:rsidR="00F72433" w:rsidRPr="00DF6DDC">
        <w:rPr>
          <w:rFonts w:ascii="Times New Roman" w:hAnsi="Times New Roman" w:cs="Times New Roman"/>
          <w:b/>
          <w:sz w:val="24"/>
          <w:szCs w:val="24"/>
          <w:vertAlign w:val="superscript"/>
          <w:lang w:val="es-MX"/>
        </w:rPr>
        <w:t>3</w:t>
      </w:r>
    </w:p>
    <w:p w14:paraId="504809AA" w14:textId="77777777" w:rsidR="00541F4F" w:rsidRPr="00DF6DDC" w:rsidRDefault="00541F4F" w:rsidP="00541F4F">
      <w:pPr>
        <w:pStyle w:val="NoSpacing"/>
        <w:jc w:val="both"/>
        <w:rPr>
          <w:rFonts w:ascii="Times New Roman" w:hAnsi="Times New Roman" w:cs="Times New Roman"/>
          <w:sz w:val="20"/>
          <w:szCs w:val="20"/>
          <w:lang w:val="es-MX"/>
        </w:rPr>
      </w:pPr>
    </w:p>
    <w:p w14:paraId="504809AB" w14:textId="482A4A2F" w:rsidR="00717ADC" w:rsidRPr="003A2B78" w:rsidRDefault="00F72433" w:rsidP="00541F4F">
      <w:pPr>
        <w:pStyle w:val="NoSpacing"/>
        <w:jc w:val="both"/>
        <w:rPr>
          <w:rFonts w:ascii="Times New Roman" w:hAnsi="Times New Roman" w:cs="Times New Roman"/>
          <w:sz w:val="20"/>
          <w:szCs w:val="20"/>
          <w:lang w:val="es-MX"/>
        </w:rPr>
      </w:pPr>
      <w:r w:rsidRPr="003A2B78">
        <w:rPr>
          <w:rFonts w:ascii="Times New Roman" w:hAnsi="Times New Roman" w:cs="Times New Roman"/>
          <w:sz w:val="20"/>
          <w:szCs w:val="20"/>
          <w:vertAlign w:val="superscript"/>
          <w:lang w:val="es-MX"/>
        </w:rPr>
        <w:t>1</w:t>
      </w:r>
      <w:r w:rsidR="00717ADC" w:rsidRPr="003A2B78">
        <w:rPr>
          <w:rFonts w:ascii="Times New Roman" w:hAnsi="Times New Roman" w:cs="Times New Roman"/>
          <w:sz w:val="20"/>
          <w:szCs w:val="20"/>
          <w:lang w:val="es-MX"/>
        </w:rPr>
        <w:t>Universidad Autónoma de Baja California, Instituto de Ingeniería, Mexicali, México</w:t>
      </w:r>
    </w:p>
    <w:p w14:paraId="504809AC" w14:textId="7C2EFB27" w:rsidR="00541F4F" w:rsidRPr="00314E4C" w:rsidRDefault="00F72433" w:rsidP="00541F4F">
      <w:pPr>
        <w:pStyle w:val="NoSpacing"/>
        <w:jc w:val="both"/>
        <w:rPr>
          <w:rFonts w:ascii="Times New Roman" w:hAnsi="Times New Roman" w:cs="Times New Roman"/>
          <w:sz w:val="20"/>
          <w:szCs w:val="20"/>
        </w:rPr>
      </w:pPr>
      <w:r w:rsidRPr="00314E4C">
        <w:rPr>
          <w:rFonts w:ascii="Times New Roman" w:hAnsi="Times New Roman" w:cs="Times New Roman"/>
          <w:sz w:val="20"/>
          <w:szCs w:val="20"/>
          <w:vertAlign w:val="superscript"/>
        </w:rPr>
        <w:t>2</w:t>
      </w:r>
      <w:r w:rsidR="00541F4F" w:rsidRPr="00314E4C">
        <w:rPr>
          <w:rFonts w:ascii="Times New Roman" w:hAnsi="Times New Roman" w:cs="Times New Roman"/>
          <w:sz w:val="20"/>
          <w:szCs w:val="20"/>
        </w:rPr>
        <w:t>Medical University of Plovdiv, Faculty of Pharmacy, Dep. Chemical Sciences, Plovdiv, Bulgaria</w:t>
      </w:r>
    </w:p>
    <w:p w14:paraId="504809AE" w14:textId="306C8DBF" w:rsidR="00717ADC" w:rsidRPr="00314E4C" w:rsidRDefault="00F72433" w:rsidP="00541F4F">
      <w:pPr>
        <w:pStyle w:val="NoSpacing"/>
        <w:jc w:val="both"/>
        <w:rPr>
          <w:rFonts w:ascii="Times New Roman" w:hAnsi="Times New Roman" w:cs="Times New Roman"/>
          <w:sz w:val="20"/>
          <w:szCs w:val="20"/>
        </w:rPr>
      </w:pPr>
      <w:r w:rsidRPr="00314E4C">
        <w:rPr>
          <w:rFonts w:ascii="Times New Roman" w:hAnsi="Times New Roman" w:cs="Times New Roman"/>
          <w:sz w:val="20"/>
          <w:szCs w:val="20"/>
          <w:vertAlign w:val="superscript"/>
        </w:rPr>
        <w:t>3</w:t>
      </w:r>
      <w:r w:rsidR="00541F4F" w:rsidRPr="00314E4C">
        <w:rPr>
          <w:rFonts w:ascii="Times New Roman" w:hAnsi="Times New Roman" w:cs="Times New Roman"/>
          <w:sz w:val="20"/>
          <w:szCs w:val="20"/>
        </w:rPr>
        <w:t>Plovdiv University “P. Hilendarski”, Dep. Biochemistry and Microbiology, Plovdiv, Bulgaria</w:t>
      </w:r>
    </w:p>
    <w:p w14:paraId="504809AF" w14:textId="77777777" w:rsidR="00717ADC" w:rsidRPr="00314E4C" w:rsidRDefault="00717ADC" w:rsidP="00541F4F">
      <w:pPr>
        <w:pStyle w:val="NoSpacing"/>
        <w:jc w:val="both"/>
        <w:rPr>
          <w:rFonts w:ascii="Times New Roman" w:hAnsi="Times New Roman" w:cs="Times New Roman"/>
          <w:sz w:val="20"/>
          <w:szCs w:val="20"/>
        </w:rPr>
      </w:pPr>
    </w:p>
    <w:p w14:paraId="504809B0" w14:textId="77777777" w:rsidR="00541F4F" w:rsidRPr="00314E4C" w:rsidRDefault="00FB6E57" w:rsidP="00541F4F">
      <w:pPr>
        <w:pStyle w:val="NoSpacing"/>
        <w:jc w:val="both"/>
        <w:rPr>
          <w:rFonts w:ascii="Times New Roman" w:hAnsi="Times New Roman" w:cs="Times New Roman"/>
          <w:b/>
        </w:rPr>
      </w:pPr>
      <w:r w:rsidRPr="00314E4C">
        <w:rPr>
          <w:rFonts w:ascii="Times New Roman" w:hAnsi="Times New Roman" w:cs="Times New Roman"/>
          <w:b/>
        </w:rPr>
        <w:t>Abstract</w:t>
      </w:r>
    </w:p>
    <w:p w14:paraId="504809B1" w14:textId="77777777" w:rsidR="00541F4F" w:rsidRPr="00314E4C" w:rsidRDefault="00541F4F" w:rsidP="00541F4F">
      <w:pPr>
        <w:pStyle w:val="NoSpacing"/>
        <w:jc w:val="both"/>
        <w:rPr>
          <w:rFonts w:ascii="Times New Roman" w:hAnsi="Times New Roman" w:cs="Times New Roman"/>
          <w:sz w:val="20"/>
          <w:szCs w:val="20"/>
        </w:rPr>
      </w:pPr>
    </w:p>
    <w:p w14:paraId="504809B2" w14:textId="771E6AC0" w:rsidR="00541F4F" w:rsidRPr="006C734F" w:rsidRDefault="00271DE6" w:rsidP="00271DE6">
      <w:pPr>
        <w:pStyle w:val="NoSpacing"/>
        <w:jc w:val="both"/>
        <w:rPr>
          <w:rFonts w:ascii="Times New Roman" w:hAnsi="Times New Roman" w:cs="Times New Roman"/>
          <w:sz w:val="20"/>
          <w:szCs w:val="20"/>
        </w:rPr>
      </w:pPr>
      <w:r w:rsidRPr="006C734F">
        <w:rPr>
          <w:rFonts w:ascii="Times New Roman" w:hAnsi="Times New Roman" w:cs="Times New Roman"/>
          <w:sz w:val="20"/>
          <w:szCs w:val="20"/>
        </w:rPr>
        <w:t>The authors describe a graphite immobilized bismuth film electrode with enhanced sensitivity for the organophosphorus pesticide paraoxon. The film was formed by ex-situ electroplating of bismuth onto the large surface of a glassy carbon electrode modified with graphite nanopowder (Bi/Gr/GCE). The modified GCE was characterized by chronoamperometry using p-nitrophenol as a model nitro compound. The modification of the GCE results in an increase of the electroactive area (to 27.7 mm²) and of the electrocatalytic activity (the catalytic rate constant being 4140 L</w:t>
      </w:r>
      <w:r w:rsidRPr="006C734F">
        <w:rPr>
          <w:rFonts w:ascii="Cambria Math" w:hAnsi="Cambria Math" w:cs="Cambria Math"/>
          <w:sz w:val="20"/>
          <w:szCs w:val="20"/>
        </w:rPr>
        <w:t>⋅</w:t>
      </w:r>
      <w:r w:rsidRPr="006C734F">
        <w:rPr>
          <w:rFonts w:ascii="Times New Roman" w:hAnsi="Times New Roman" w:cs="Times New Roman"/>
          <w:sz w:val="20"/>
          <w:szCs w:val="20"/>
        </w:rPr>
        <w:t>mol⁻¹</w:t>
      </w:r>
      <w:r w:rsidRPr="006C734F">
        <w:rPr>
          <w:rFonts w:ascii="Cambria Math" w:hAnsi="Cambria Math" w:cs="Cambria Math"/>
          <w:sz w:val="20"/>
          <w:szCs w:val="20"/>
        </w:rPr>
        <w:t>⋅</w:t>
      </w:r>
      <w:r w:rsidRPr="006C734F">
        <w:rPr>
          <w:rFonts w:ascii="Times New Roman" w:hAnsi="Times New Roman" w:cs="Times New Roman"/>
          <w:sz w:val="20"/>
          <w:szCs w:val="20"/>
        </w:rPr>
        <w:t xml:space="preserve">s⁻¹). This results in an enhancement of the current for the electroreduction of paraoxon by a factor of 4.3 (compared to a plain GCE). The modified GCE was applied to the sensitive determination of paraoxon by differential pulse voltammetry. At a typical working potential of </w:t>
      </w:r>
      <w:r w:rsidR="0014049E" w:rsidRPr="006C734F">
        <w:rPr>
          <w:rFonts w:ascii="Times New Roman" w:hAnsi="Times New Roman" w:cs="Times New Roman"/>
          <w:sz w:val="20"/>
          <w:szCs w:val="20"/>
        </w:rPr>
        <w:t>-</w:t>
      </w:r>
      <w:r w:rsidRPr="006C734F">
        <w:rPr>
          <w:rFonts w:ascii="Times New Roman" w:hAnsi="Times New Roman" w:cs="Times New Roman"/>
          <w:sz w:val="20"/>
          <w:szCs w:val="20"/>
        </w:rPr>
        <w:t>0.45 V vs. Ag/AgCl, the LOD is 2 nmol</w:t>
      </w:r>
      <w:r w:rsidRPr="006C734F">
        <w:rPr>
          <w:rFonts w:ascii="Cambria Math" w:hAnsi="Cambria Math" w:cs="Cambria Math"/>
          <w:sz w:val="20"/>
          <w:szCs w:val="20"/>
        </w:rPr>
        <w:t>⋅</w:t>
      </w:r>
      <w:r w:rsidRPr="006C734F">
        <w:rPr>
          <w:rFonts w:ascii="Times New Roman" w:hAnsi="Times New Roman" w:cs="Times New Roman"/>
          <w:sz w:val="20"/>
          <w:szCs w:val="20"/>
        </w:rPr>
        <w:t>L⁻¹ of paraoxon</w:t>
      </w:r>
      <w:r w:rsidR="00314E4C" w:rsidRPr="006C734F">
        <w:rPr>
          <w:rFonts w:ascii="Times New Roman" w:hAnsi="Times New Roman" w:cs="Times New Roman"/>
          <w:sz w:val="20"/>
          <w:szCs w:val="20"/>
        </w:rPr>
        <w:t>,</w:t>
      </w:r>
      <w:r w:rsidRPr="006C734F">
        <w:rPr>
          <w:rFonts w:ascii="Times New Roman" w:hAnsi="Times New Roman" w:cs="Times New Roman"/>
          <w:sz w:val="20"/>
          <w:szCs w:val="20"/>
        </w:rPr>
        <w:t xml:space="preserve"> which is comparable to the LOD of some cholinesterases-based electrochemical sensors and is lower than the LOD of the organophosphorus hydrolase-based electrochemical sensors for paraoxon. In addition, the new GCE is more stable than enzyme-based </w:t>
      </w:r>
      <w:r w:rsidR="0072256E" w:rsidRPr="006C734F">
        <w:rPr>
          <w:rFonts w:ascii="Times New Roman" w:hAnsi="Times New Roman" w:cs="Times New Roman"/>
          <w:sz w:val="20"/>
          <w:szCs w:val="20"/>
        </w:rPr>
        <w:t>sensors, and it can be renewed.</w:t>
      </w:r>
    </w:p>
    <w:p w14:paraId="7F3F31D8" w14:textId="77777777" w:rsidR="008C7AFD" w:rsidRPr="006C734F" w:rsidRDefault="008C7AFD" w:rsidP="00541F4F">
      <w:pPr>
        <w:pStyle w:val="NoSpacing"/>
        <w:jc w:val="both"/>
        <w:rPr>
          <w:rFonts w:ascii="Times New Roman" w:hAnsi="Times New Roman" w:cs="Times New Roman"/>
          <w:sz w:val="20"/>
          <w:szCs w:val="20"/>
        </w:rPr>
      </w:pPr>
    </w:p>
    <w:p w14:paraId="504809B4" w14:textId="4F1E7EA2" w:rsidR="00FB6E57" w:rsidRPr="00314E4C" w:rsidRDefault="00FB6E57" w:rsidP="00FB6E57">
      <w:pPr>
        <w:pStyle w:val="NoSpacing"/>
        <w:jc w:val="both"/>
        <w:rPr>
          <w:rFonts w:ascii="Times New Roman" w:hAnsi="Times New Roman" w:cs="Times New Roman"/>
          <w:b/>
        </w:rPr>
      </w:pPr>
      <w:r w:rsidRPr="006C734F">
        <w:rPr>
          <w:rFonts w:ascii="Times New Roman" w:hAnsi="Times New Roman" w:cs="Times New Roman"/>
          <w:b/>
          <w:sz w:val="20"/>
          <w:szCs w:val="20"/>
        </w:rPr>
        <w:t>Keywords</w:t>
      </w:r>
      <w:r w:rsidRPr="006C734F">
        <w:rPr>
          <w:rFonts w:ascii="Times New Roman" w:hAnsi="Times New Roman" w:cs="Times New Roman"/>
          <w:sz w:val="20"/>
          <w:szCs w:val="20"/>
        </w:rPr>
        <w:t xml:space="preserve"> Paraoxon. Cathodic </w:t>
      </w:r>
      <w:r w:rsidR="00373774" w:rsidRPr="006C734F">
        <w:rPr>
          <w:rFonts w:ascii="Times New Roman" w:hAnsi="Times New Roman" w:cs="Times New Roman"/>
          <w:sz w:val="20"/>
          <w:szCs w:val="20"/>
        </w:rPr>
        <w:t xml:space="preserve">reduction. </w:t>
      </w:r>
      <w:r w:rsidRPr="006C734F">
        <w:rPr>
          <w:rFonts w:ascii="Times New Roman" w:hAnsi="Times New Roman" w:cs="Times New Roman"/>
          <w:sz w:val="20"/>
          <w:szCs w:val="20"/>
        </w:rPr>
        <w:t>Bi film electrode</w:t>
      </w:r>
      <w:r w:rsidR="00EA38B7" w:rsidRPr="006C734F">
        <w:rPr>
          <w:rFonts w:ascii="Times New Roman" w:hAnsi="Times New Roman" w:cs="Times New Roman"/>
          <w:sz w:val="20"/>
          <w:szCs w:val="20"/>
        </w:rPr>
        <w:t>.</w:t>
      </w:r>
      <w:r w:rsidR="00373774" w:rsidRPr="006C734F">
        <w:rPr>
          <w:rFonts w:ascii="Times New Roman" w:hAnsi="Times New Roman" w:cs="Times New Roman"/>
          <w:sz w:val="20"/>
          <w:szCs w:val="20"/>
        </w:rPr>
        <w:t xml:space="preserve"> Graphite nanopowder.</w:t>
      </w:r>
    </w:p>
    <w:p w14:paraId="504809B5" w14:textId="77777777" w:rsidR="00FB6E57" w:rsidRPr="00314E4C" w:rsidRDefault="00FB6E57" w:rsidP="00FB6E57">
      <w:pPr>
        <w:pStyle w:val="NoSpacing"/>
        <w:jc w:val="both"/>
        <w:rPr>
          <w:rFonts w:ascii="Times New Roman" w:hAnsi="Times New Roman" w:cs="Times New Roman"/>
        </w:rPr>
      </w:pPr>
    </w:p>
    <w:p w14:paraId="504809B7" w14:textId="1B243658" w:rsidR="00541F4F" w:rsidRPr="00314E4C" w:rsidRDefault="00FB6E57" w:rsidP="00541F4F">
      <w:pPr>
        <w:pStyle w:val="NoSpacing"/>
        <w:jc w:val="both"/>
        <w:rPr>
          <w:rFonts w:ascii="Times New Roman" w:hAnsi="Times New Roman" w:cs="Times New Roman"/>
          <w:b/>
        </w:rPr>
      </w:pPr>
      <w:r w:rsidRPr="00314E4C">
        <w:rPr>
          <w:rFonts w:ascii="Times New Roman" w:hAnsi="Times New Roman" w:cs="Times New Roman"/>
          <w:b/>
        </w:rPr>
        <w:t>Introduction</w:t>
      </w:r>
    </w:p>
    <w:p w14:paraId="504809B8" w14:textId="4ED2AA52" w:rsidR="0071654E" w:rsidRPr="00314E4C" w:rsidRDefault="00DF6DDC" w:rsidP="00782070">
      <w:pPr>
        <w:pStyle w:val="NoSpacing"/>
        <w:jc w:val="both"/>
        <w:rPr>
          <w:rFonts w:ascii="Times New Roman" w:hAnsi="Times New Roman" w:cs="Times New Roman"/>
          <w:sz w:val="20"/>
          <w:szCs w:val="20"/>
        </w:rPr>
      </w:pPr>
      <w:r>
        <w:rPr>
          <w:rFonts w:ascii="Times New Roman" w:hAnsi="Times New Roman" w:cs="Times New Roman"/>
          <w:sz w:val="20"/>
          <w:szCs w:val="20"/>
        </w:rPr>
        <w:t>E</w:t>
      </w:r>
      <w:bookmarkStart w:id="0" w:name="_GoBack"/>
      <w:bookmarkEnd w:id="0"/>
      <w:r w:rsidR="00EF7229" w:rsidRPr="00314E4C">
        <w:rPr>
          <w:rFonts w:ascii="Times New Roman" w:hAnsi="Times New Roman" w:cs="Times New Roman"/>
          <w:sz w:val="20"/>
          <w:szCs w:val="20"/>
        </w:rPr>
        <w:t xml:space="preserve">lectrochemical </w:t>
      </w:r>
      <w:r w:rsidR="00AD310A" w:rsidRPr="00314E4C">
        <w:rPr>
          <w:rFonts w:ascii="Times New Roman" w:hAnsi="Times New Roman" w:cs="Times New Roman"/>
          <w:sz w:val="20"/>
          <w:szCs w:val="20"/>
        </w:rPr>
        <w:t>analysis is</w:t>
      </w:r>
      <w:r w:rsidR="00EF7229" w:rsidRPr="00314E4C">
        <w:rPr>
          <w:rFonts w:ascii="Times New Roman" w:hAnsi="Times New Roman" w:cs="Times New Roman"/>
          <w:sz w:val="20"/>
          <w:szCs w:val="20"/>
        </w:rPr>
        <w:t xml:space="preserve"> </w:t>
      </w:r>
      <w:r w:rsidR="00B614AC" w:rsidRPr="00314E4C">
        <w:rPr>
          <w:rFonts w:ascii="Times New Roman" w:hAnsi="Times New Roman" w:cs="Times New Roman"/>
          <w:sz w:val="20"/>
          <w:szCs w:val="20"/>
        </w:rPr>
        <w:t>considered as a low-cost alternative of the currently used chromatographic methods</w:t>
      </w:r>
      <w:r w:rsidR="00F3274D" w:rsidRPr="00314E4C">
        <w:rPr>
          <w:rFonts w:ascii="Times New Roman" w:hAnsi="Times New Roman" w:cs="Times New Roman"/>
          <w:sz w:val="20"/>
          <w:szCs w:val="20"/>
        </w:rPr>
        <w:t>,</w:t>
      </w:r>
      <w:r w:rsidR="00B614AC" w:rsidRPr="00314E4C">
        <w:rPr>
          <w:rFonts w:ascii="Times New Roman" w:hAnsi="Times New Roman" w:cs="Times New Roman"/>
          <w:sz w:val="20"/>
          <w:szCs w:val="20"/>
        </w:rPr>
        <w:t xml:space="preserve"> for </w:t>
      </w:r>
      <w:r w:rsidR="008A4FAD" w:rsidRPr="00314E4C">
        <w:rPr>
          <w:rFonts w:ascii="Times New Roman" w:hAnsi="Times New Roman" w:cs="Times New Roman"/>
          <w:sz w:val="20"/>
          <w:szCs w:val="20"/>
        </w:rPr>
        <w:t>the</w:t>
      </w:r>
      <w:r w:rsidR="00B614AC" w:rsidRPr="00314E4C">
        <w:rPr>
          <w:rFonts w:ascii="Times New Roman" w:hAnsi="Times New Roman" w:cs="Times New Roman"/>
          <w:sz w:val="20"/>
          <w:szCs w:val="20"/>
        </w:rPr>
        <w:t xml:space="preserve"> rapid and sensitive</w:t>
      </w:r>
      <w:r w:rsidR="00441849" w:rsidRPr="00314E4C">
        <w:rPr>
          <w:rFonts w:ascii="Times New Roman" w:hAnsi="Times New Roman" w:cs="Times New Roman"/>
          <w:sz w:val="20"/>
          <w:szCs w:val="20"/>
        </w:rPr>
        <w:t>,</w:t>
      </w:r>
      <w:r w:rsidR="00B614AC" w:rsidRPr="00314E4C">
        <w:rPr>
          <w:rFonts w:ascii="Times New Roman" w:hAnsi="Times New Roman" w:cs="Times New Roman"/>
          <w:sz w:val="20"/>
          <w:szCs w:val="20"/>
        </w:rPr>
        <w:t xml:space="preserve"> in situ monitoring and assessment</w:t>
      </w:r>
      <w:r w:rsidR="00BB495B" w:rsidRPr="00314E4C">
        <w:rPr>
          <w:rFonts w:ascii="Times New Roman" w:hAnsi="Times New Roman" w:cs="Times New Roman"/>
          <w:sz w:val="20"/>
          <w:szCs w:val="20"/>
        </w:rPr>
        <w:t xml:space="preserve"> </w:t>
      </w:r>
      <w:r w:rsidR="008A4FAD" w:rsidRPr="00314E4C">
        <w:rPr>
          <w:rFonts w:ascii="Times New Roman" w:hAnsi="Times New Roman" w:cs="Times New Roman"/>
          <w:sz w:val="20"/>
          <w:szCs w:val="20"/>
        </w:rPr>
        <w:t xml:space="preserve">of organophosphorus pesticides (OPs) </w:t>
      </w:r>
      <w:r w:rsidR="008D2090" w:rsidRPr="00314E4C">
        <w:rPr>
          <w:rFonts w:ascii="Times New Roman" w:hAnsi="Times New Roman" w:cs="Times New Roman"/>
          <w:sz w:val="20"/>
          <w:szCs w:val="20"/>
        </w:rPr>
        <w:t>[</w:t>
      </w:r>
      <w:r w:rsidR="00BB495B" w:rsidRPr="00C35319">
        <w:rPr>
          <w:rFonts w:ascii="Times New Roman" w:hAnsi="Times New Roman" w:cs="Times New Roman"/>
          <w:sz w:val="20"/>
          <w:szCs w:val="20"/>
        </w:rPr>
        <w:t>1</w:t>
      </w:r>
      <w:r w:rsidR="00BB495B" w:rsidRPr="00314E4C">
        <w:rPr>
          <w:rFonts w:ascii="Times New Roman" w:hAnsi="Times New Roman" w:cs="Times New Roman"/>
          <w:sz w:val="20"/>
          <w:szCs w:val="20"/>
        </w:rPr>
        <w:t>]</w:t>
      </w:r>
      <w:r w:rsidR="007E494C" w:rsidRPr="00314E4C">
        <w:rPr>
          <w:rFonts w:ascii="Times New Roman" w:hAnsi="Times New Roman" w:cs="Times New Roman"/>
          <w:sz w:val="20"/>
          <w:szCs w:val="20"/>
        </w:rPr>
        <w:t xml:space="preserve">. </w:t>
      </w:r>
      <w:r w:rsidR="00A91769" w:rsidRPr="00314E4C">
        <w:rPr>
          <w:rFonts w:ascii="Times New Roman" w:hAnsi="Times New Roman" w:cs="Times New Roman"/>
          <w:sz w:val="20"/>
          <w:szCs w:val="20"/>
        </w:rPr>
        <w:t xml:space="preserve">For this purpose, </w:t>
      </w:r>
      <w:r w:rsidR="008C7AFD" w:rsidRPr="00314E4C">
        <w:rPr>
          <w:rFonts w:ascii="Times New Roman" w:hAnsi="Times New Roman" w:cs="Times New Roman"/>
          <w:sz w:val="20"/>
          <w:szCs w:val="20"/>
        </w:rPr>
        <w:t xml:space="preserve">numerous well-suited </w:t>
      </w:r>
      <w:r w:rsidR="00EA331B" w:rsidRPr="00314E4C">
        <w:rPr>
          <w:rFonts w:ascii="Times New Roman" w:hAnsi="Times New Roman" w:cs="Times New Roman"/>
          <w:sz w:val="20"/>
          <w:szCs w:val="20"/>
        </w:rPr>
        <w:t xml:space="preserve">cholinesterases- and organophosphorus hydrolase-based electrochemical sensors </w:t>
      </w:r>
      <w:r w:rsidR="00A91769" w:rsidRPr="00314E4C">
        <w:rPr>
          <w:rFonts w:ascii="Times New Roman" w:hAnsi="Times New Roman" w:cs="Times New Roman"/>
          <w:sz w:val="20"/>
          <w:szCs w:val="20"/>
        </w:rPr>
        <w:t>were</w:t>
      </w:r>
      <w:r w:rsidR="00F368DD" w:rsidRPr="00314E4C">
        <w:rPr>
          <w:rFonts w:ascii="Times New Roman" w:hAnsi="Times New Roman" w:cs="Times New Roman"/>
          <w:sz w:val="20"/>
          <w:szCs w:val="20"/>
        </w:rPr>
        <w:t xml:space="preserve"> </w:t>
      </w:r>
      <w:r w:rsidR="00314E4C" w:rsidRPr="00C35319">
        <w:rPr>
          <w:rFonts w:ascii="Times New Roman" w:hAnsi="Times New Roman" w:cs="Times New Roman"/>
          <w:sz w:val="20"/>
          <w:szCs w:val="20"/>
        </w:rPr>
        <w:t>develop</w:t>
      </w:r>
      <w:r w:rsidR="00A91769" w:rsidRPr="00C35319">
        <w:rPr>
          <w:rFonts w:ascii="Times New Roman" w:hAnsi="Times New Roman" w:cs="Times New Roman"/>
          <w:sz w:val="20"/>
          <w:szCs w:val="20"/>
        </w:rPr>
        <w:t>ed</w:t>
      </w:r>
      <w:r w:rsidR="00761B72" w:rsidRPr="00C35319">
        <w:rPr>
          <w:rFonts w:ascii="Times New Roman" w:hAnsi="Times New Roman" w:cs="Times New Roman"/>
          <w:sz w:val="20"/>
          <w:szCs w:val="20"/>
        </w:rPr>
        <w:t xml:space="preserve"> </w:t>
      </w:r>
      <w:r w:rsidR="008D2090" w:rsidRPr="00C35319">
        <w:rPr>
          <w:rFonts w:ascii="Times New Roman" w:hAnsi="Times New Roman" w:cs="Times New Roman"/>
          <w:sz w:val="20"/>
          <w:szCs w:val="20"/>
        </w:rPr>
        <w:t>[1-</w:t>
      </w:r>
      <w:r w:rsidR="00D857E3" w:rsidRPr="00C35319">
        <w:rPr>
          <w:rFonts w:ascii="Times New Roman" w:hAnsi="Times New Roman" w:cs="Times New Roman"/>
          <w:sz w:val="20"/>
          <w:szCs w:val="20"/>
        </w:rPr>
        <w:t>5</w:t>
      </w:r>
      <w:r w:rsidR="00BF3E7B" w:rsidRPr="00314E4C">
        <w:rPr>
          <w:rFonts w:ascii="Times New Roman" w:hAnsi="Times New Roman" w:cs="Times New Roman"/>
          <w:sz w:val="20"/>
          <w:szCs w:val="20"/>
        </w:rPr>
        <w:t>]</w:t>
      </w:r>
      <w:r w:rsidR="009F3653" w:rsidRPr="00314E4C">
        <w:rPr>
          <w:rFonts w:ascii="Times New Roman" w:hAnsi="Times New Roman" w:cs="Times New Roman"/>
          <w:sz w:val="20"/>
          <w:szCs w:val="20"/>
        </w:rPr>
        <w:t>.</w:t>
      </w:r>
      <w:r w:rsidR="00EA331B" w:rsidRPr="00314E4C">
        <w:rPr>
          <w:rFonts w:ascii="Times New Roman" w:hAnsi="Times New Roman" w:cs="Times New Roman"/>
          <w:sz w:val="20"/>
          <w:szCs w:val="20"/>
        </w:rPr>
        <w:t xml:space="preserve"> </w:t>
      </w:r>
      <w:r w:rsidR="00104C7A" w:rsidRPr="00314E4C">
        <w:rPr>
          <w:rFonts w:ascii="Times New Roman" w:hAnsi="Times New Roman" w:cs="Times New Roman"/>
          <w:sz w:val="20"/>
          <w:szCs w:val="20"/>
        </w:rPr>
        <w:t xml:space="preserve">The </w:t>
      </w:r>
      <w:r w:rsidR="00173186" w:rsidRPr="00314E4C">
        <w:rPr>
          <w:rFonts w:ascii="Times New Roman" w:hAnsi="Times New Roman" w:cs="Times New Roman"/>
          <w:sz w:val="20"/>
          <w:szCs w:val="20"/>
        </w:rPr>
        <w:t xml:space="preserve">OPs act as specific cholinesterases inhibitors and organophosphorus hydrolase substrates. The enzyme-catalyzed reactions give rise of electroactive </w:t>
      </w:r>
      <w:r w:rsidR="00BA64E0" w:rsidRPr="00314E4C">
        <w:rPr>
          <w:rFonts w:ascii="Times New Roman" w:hAnsi="Times New Roman" w:cs="Times New Roman"/>
          <w:sz w:val="20"/>
          <w:szCs w:val="20"/>
        </w:rPr>
        <w:t>products</w:t>
      </w:r>
      <w:r w:rsidR="00173186" w:rsidRPr="00314E4C">
        <w:rPr>
          <w:rFonts w:ascii="Times New Roman" w:hAnsi="Times New Roman" w:cs="Times New Roman"/>
          <w:sz w:val="20"/>
          <w:szCs w:val="20"/>
        </w:rPr>
        <w:t xml:space="preserve">. </w:t>
      </w:r>
      <w:r w:rsidR="008C7AFD" w:rsidRPr="00314E4C">
        <w:rPr>
          <w:rFonts w:ascii="Times New Roman" w:hAnsi="Times New Roman" w:cs="Times New Roman"/>
          <w:sz w:val="20"/>
          <w:szCs w:val="20"/>
        </w:rPr>
        <w:t>However, d</w:t>
      </w:r>
      <w:r w:rsidR="008C76D3" w:rsidRPr="00314E4C">
        <w:rPr>
          <w:rFonts w:ascii="Times New Roman" w:hAnsi="Times New Roman" w:cs="Times New Roman"/>
          <w:sz w:val="20"/>
          <w:szCs w:val="20"/>
        </w:rPr>
        <w:t>espite of their analytical potential</w:t>
      </w:r>
      <w:r w:rsidR="00782070" w:rsidRPr="00314E4C">
        <w:rPr>
          <w:rFonts w:ascii="Times New Roman" w:hAnsi="Times New Roman" w:cs="Times New Roman"/>
          <w:sz w:val="20"/>
          <w:szCs w:val="20"/>
        </w:rPr>
        <w:t xml:space="preserve"> and extensive development</w:t>
      </w:r>
      <w:r w:rsidR="008C76D3" w:rsidRPr="00314E4C">
        <w:rPr>
          <w:rFonts w:ascii="Times New Roman" w:hAnsi="Times New Roman" w:cs="Times New Roman"/>
          <w:sz w:val="20"/>
          <w:szCs w:val="20"/>
        </w:rPr>
        <w:t xml:space="preserve">, </w:t>
      </w:r>
      <w:r w:rsidR="00447A7A" w:rsidRPr="00314E4C">
        <w:rPr>
          <w:rFonts w:ascii="Times New Roman" w:hAnsi="Times New Roman" w:cs="Times New Roman"/>
          <w:sz w:val="20"/>
          <w:szCs w:val="20"/>
        </w:rPr>
        <w:t xml:space="preserve">the electrochemical biosensors </w:t>
      </w:r>
      <w:r w:rsidR="00122D16" w:rsidRPr="00314E4C">
        <w:rPr>
          <w:rFonts w:ascii="Times New Roman" w:hAnsi="Times New Roman" w:cs="Times New Roman"/>
          <w:sz w:val="20"/>
          <w:szCs w:val="20"/>
        </w:rPr>
        <w:t xml:space="preserve">for OPs determination </w:t>
      </w:r>
      <w:r w:rsidR="00447A7A" w:rsidRPr="00314E4C">
        <w:rPr>
          <w:rFonts w:ascii="Times New Roman" w:hAnsi="Times New Roman" w:cs="Times New Roman"/>
          <w:sz w:val="20"/>
          <w:szCs w:val="20"/>
        </w:rPr>
        <w:t>are still not commercialized</w:t>
      </w:r>
      <w:r w:rsidR="00BD66BA" w:rsidRPr="00314E4C">
        <w:rPr>
          <w:rFonts w:ascii="Times New Roman" w:hAnsi="Times New Roman" w:cs="Times New Roman"/>
          <w:sz w:val="20"/>
          <w:szCs w:val="20"/>
        </w:rPr>
        <w:t xml:space="preserve"> and their application to real samples analysis is limited</w:t>
      </w:r>
      <w:r w:rsidR="00447A7A" w:rsidRPr="00314E4C">
        <w:rPr>
          <w:rFonts w:ascii="Times New Roman" w:hAnsi="Times New Roman" w:cs="Times New Roman"/>
          <w:sz w:val="20"/>
          <w:szCs w:val="20"/>
        </w:rPr>
        <w:t xml:space="preserve">. One of their </w:t>
      </w:r>
      <w:r w:rsidR="00BD66BA" w:rsidRPr="00314E4C">
        <w:rPr>
          <w:rFonts w:ascii="Times New Roman" w:hAnsi="Times New Roman" w:cs="Times New Roman"/>
          <w:sz w:val="20"/>
          <w:szCs w:val="20"/>
        </w:rPr>
        <w:t xml:space="preserve">major </w:t>
      </w:r>
      <w:r w:rsidR="00447A7A" w:rsidRPr="00314E4C">
        <w:rPr>
          <w:rFonts w:ascii="Times New Roman" w:hAnsi="Times New Roman" w:cs="Times New Roman"/>
          <w:sz w:val="20"/>
          <w:szCs w:val="20"/>
        </w:rPr>
        <w:t xml:space="preserve">drawbacks is the </w:t>
      </w:r>
      <w:r w:rsidR="00EE3F7F" w:rsidRPr="00314E4C">
        <w:rPr>
          <w:rFonts w:ascii="Times New Roman" w:hAnsi="Times New Roman" w:cs="Times New Roman"/>
          <w:sz w:val="20"/>
          <w:szCs w:val="20"/>
        </w:rPr>
        <w:t xml:space="preserve">lack of a long-term stability, due to enzyme </w:t>
      </w:r>
      <w:r w:rsidR="00A0561C" w:rsidRPr="00314E4C">
        <w:rPr>
          <w:rFonts w:ascii="Times New Roman" w:hAnsi="Times New Roman" w:cs="Times New Roman"/>
          <w:sz w:val="20"/>
          <w:szCs w:val="20"/>
        </w:rPr>
        <w:t>deactivation</w:t>
      </w:r>
      <w:r w:rsidR="00EE3F7F" w:rsidRPr="00314E4C">
        <w:rPr>
          <w:rFonts w:ascii="Times New Roman" w:hAnsi="Times New Roman" w:cs="Times New Roman"/>
          <w:sz w:val="20"/>
          <w:szCs w:val="20"/>
        </w:rPr>
        <w:t xml:space="preserve">. </w:t>
      </w:r>
      <w:r w:rsidR="008C7AFD" w:rsidRPr="00314E4C">
        <w:rPr>
          <w:rFonts w:ascii="Times New Roman" w:hAnsi="Times New Roman" w:cs="Times New Roman"/>
          <w:sz w:val="20"/>
          <w:szCs w:val="20"/>
        </w:rPr>
        <w:t>In this context, the implementation</w:t>
      </w:r>
      <w:r w:rsidR="00447A7A" w:rsidRPr="00314E4C">
        <w:rPr>
          <w:rFonts w:ascii="Times New Roman" w:hAnsi="Times New Roman" w:cs="Times New Roman"/>
          <w:sz w:val="20"/>
          <w:szCs w:val="20"/>
        </w:rPr>
        <w:t xml:space="preserve"> of non-enzymatic electrochemical sensors for OPs determination is of great interest. </w:t>
      </w:r>
      <w:r w:rsidR="0084343E" w:rsidRPr="00314E4C">
        <w:rPr>
          <w:rFonts w:ascii="Times New Roman" w:hAnsi="Times New Roman" w:cs="Times New Roman"/>
          <w:sz w:val="20"/>
          <w:szCs w:val="20"/>
        </w:rPr>
        <w:t>Some</w:t>
      </w:r>
      <w:r w:rsidR="00971B37" w:rsidRPr="00314E4C">
        <w:rPr>
          <w:rFonts w:ascii="Times New Roman" w:hAnsi="Times New Roman" w:cs="Times New Roman"/>
          <w:sz w:val="20"/>
          <w:szCs w:val="20"/>
        </w:rPr>
        <w:t xml:space="preserve"> typical examples include the </w:t>
      </w:r>
      <w:r w:rsidR="00C33249" w:rsidRPr="00314E4C">
        <w:rPr>
          <w:rFonts w:ascii="Times New Roman" w:hAnsi="Times New Roman" w:cs="Times New Roman"/>
          <w:sz w:val="20"/>
          <w:szCs w:val="20"/>
        </w:rPr>
        <w:t xml:space="preserve">electrochemical determination of dichlorvos, dicrotophos, chlorfenvinphos, and crotoxyphos on mercury electrodes by reduction of the </w:t>
      </w:r>
      <w:r w:rsidR="00576F9A" w:rsidRPr="00314E4C">
        <w:rPr>
          <w:rFonts w:ascii="Times New Roman" w:hAnsi="Times New Roman" w:cs="Times New Roman"/>
          <w:sz w:val="20"/>
          <w:szCs w:val="20"/>
        </w:rPr>
        <w:t>carbon-</w:t>
      </w:r>
      <w:r w:rsidR="00A86C79" w:rsidRPr="00314E4C">
        <w:rPr>
          <w:rFonts w:ascii="Times New Roman" w:hAnsi="Times New Roman" w:cs="Times New Roman"/>
          <w:sz w:val="20"/>
          <w:szCs w:val="20"/>
        </w:rPr>
        <w:t>carbon double bo</w:t>
      </w:r>
      <w:r w:rsidR="00C33249" w:rsidRPr="00314E4C">
        <w:rPr>
          <w:rFonts w:ascii="Times New Roman" w:hAnsi="Times New Roman" w:cs="Times New Roman"/>
          <w:sz w:val="20"/>
          <w:szCs w:val="20"/>
        </w:rPr>
        <w:t>nd in a two-electron process</w:t>
      </w:r>
      <w:r w:rsidR="008D2090" w:rsidRPr="00314E4C">
        <w:rPr>
          <w:rFonts w:ascii="Times New Roman" w:hAnsi="Times New Roman" w:cs="Times New Roman"/>
          <w:sz w:val="20"/>
          <w:szCs w:val="20"/>
        </w:rPr>
        <w:t xml:space="preserve"> [</w:t>
      </w:r>
      <w:r w:rsidR="00D857E3" w:rsidRPr="00C35319">
        <w:rPr>
          <w:rFonts w:ascii="Times New Roman" w:hAnsi="Times New Roman" w:cs="Times New Roman"/>
          <w:sz w:val="20"/>
          <w:szCs w:val="20"/>
        </w:rPr>
        <w:t>6</w:t>
      </w:r>
      <w:r w:rsidR="00501CF4" w:rsidRPr="00314E4C">
        <w:rPr>
          <w:rFonts w:ascii="Times New Roman" w:hAnsi="Times New Roman" w:cs="Times New Roman"/>
          <w:sz w:val="20"/>
          <w:szCs w:val="20"/>
        </w:rPr>
        <w:t>]</w:t>
      </w:r>
      <w:r w:rsidR="00C33249" w:rsidRPr="00314E4C">
        <w:rPr>
          <w:rFonts w:ascii="Times New Roman" w:hAnsi="Times New Roman" w:cs="Times New Roman"/>
          <w:sz w:val="20"/>
          <w:szCs w:val="20"/>
        </w:rPr>
        <w:t xml:space="preserve">, as well as </w:t>
      </w:r>
      <w:r w:rsidR="00501CF4" w:rsidRPr="00314E4C">
        <w:rPr>
          <w:rFonts w:ascii="Times New Roman" w:hAnsi="Times New Roman" w:cs="Times New Roman"/>
          <w:sz w:val="20"/>
          <w:szCs w:val="20"/>
        </w:rPr>
        <w:t xml:space="preserve">of </w:t>
      </w:r>
      <w:r w:rsidR="0055139F" w:rsidRPr="00314E4C">
        <w:rPr>
          <w:rFonts w:ascii="Times New Roman" w:hAnsi="Times New Roman" w:cs="Times New Roman"/>
          <w:sz w:val="20"/>
          <w:szCs w:val="20"/>
        </w:rPr>
        <w:t xml:space="preserve">parathion, </w:t>
      </w:r>
      <w:r w:rsidR="00501CF4" w:rsidRPr="00314E4C">
        <w:rPr>
          <w:rFonts w:ascii="Times New Roman" w:hAnsi="Times New Roman" w:cs="Times New Roman"/>
          <w:sz w:val="20"/>
          <w:szCs w:val="20"/>
        </w:rPr>
        <w:t>methyl parathion</w:t>
      </w:r>
      <w:r w:rsidR="0055139F" w:rsidRPr="00314E4C">
        <w:rPr>
          <w:rFonts w:ascii="Times New Roman" w:hAnsi="Times New Roman" w:cs="Times New Roman"/>
          <w:sz w:val="20"/>
          <w:szCs w:val="20"/>
        </w:rPr>
        <w:t>,</w:t>
      </w:r>
      <w:r w:rsidR="00207092" w:rsidRPr="00314E4C">
        <w:rPr>
          <w:rFonts w:ascii="Times New Roman" w:hAnsi="Times New Roman" w:cs="Times New Roman"/>
          <w:sz w:val="20"/>
          <w:szCs w:val="20"/>
        </w:rPr>
        <w:t xml:space="preserve"> and fenitrothion</w:t>
      </w:r>
      <w:r w:rsidR="00501CF4" w:rsidRPr="00314E4C">
        <w:rPr>
          <w:rFonts w:ascii="Times New Roman" w:hAnsi="Times New Roman" w:cs="Times New Roman"/>
          <w:sz w:val="20"/>
          <w:szCs w:val="20"/>
        </w:rPr>
        <w:t xml:space="preserve"> determination by the nitro group </w:t>
      </w:r>
      <w:r w:rsidR="008C7AFD" w:rsidRPr="00314E4C">
        <w:rPr>
          <w:rFonts w:ascii="Times New Roman" w:hAnsi="Times New Roman" w:cs="Times New Roman"/>
          <w:sz w:val="20"/>
          <w:szCs w:val="20"/>
        </w:rPr>
        <w:t xml:space="preserve">electrochemical </w:t>
      </w:r>
      <w:r w:rsidR="00501CF4" w:rsidRPr="00314E4C">
        <w:rPr>
          <w:rFonts w:ascii="Times New Roman" w:hAnsi="Times New Roman" w:cs="Times New Roman"/>
          <w:sz w:val="20"/>
          <w:szCs w:val="20"/>
        </w:rPr>
        <w:t>re</w:t>
      </w:r>
      <w:r w:rsidR="00CC3F78">
        <w:rPr>
          <w:rFonts w:ascii="Times New Roman" w:hAnsi="Times New Roman" w:cs="Times New Roman"/>
          <w:sz w:val="20"/>
          <w:szCs w:val="20"/>
        </w:rPr>
        <w:t>duction [</w:t>
      </w:r>
      <w:r w:rsidR="00D857E3" w:rsidRPr="00C35319">
        <w:rPr>
          <w:rFonts w:ascii="Times New Roman" w:hAnsi="Times New Roman" w:cs="Times New Roman"/>
          <w:sz w:val="20"/>
          <w:szCs w:val="20"/>
        </w:rPr>
        <w:t>7</w:t>
      </w:r>
      <w:r w:rsidR="0055139F" w:rsidRPr="00314E4C">
        <w:rPr>
          <w:rFonts w:ascii="Times New Roman" w:hAnsi="Times New Roman" w:cs="Times New Roman"/>
          <w:sz w:val="20"/>
          <w:szCs w:val="20"/>
        </w:rPr>
        <w:t xml:space="preserve">]. </w:t>
      </w:r>
      <w:r w:rsidR="004157FE" w:rsidRPr="00314E4C">
        <w:rPr>
          <w:rFonts w:ascii="Times New Roman" w:hAnsi="Times New Roman" w:cs="Times New Roman"/>
          <w:sz w:val="20"/>
          <w:szCs w:val="20"/>
        </w:rPr>
        <w:t>Nevertheless, current efforts are focused on the development of nanomaterials modified solid electrodes with improved analytical per</w:t>
      </w:r>
      <w:r w:rsidR="00782070" w:rsidRPr="00314E4C">
        <w:rPr>
          <w:rFonts w:ascii="Times New Roman" w:hAnsi="Times New Roman" w:cs="Times New Roman"/>
          <w:sz w:val="20"/>
          <w:szCs w:val="20"/>
        </w:rPr>
        <w:t>formances</w:t>
      </w:r>
      <w:r w:rsidR="00756B79" w:rsidRPr="00314E4C">
        <w:rPr>
          <w:rFonts w:ascii="Times New Roman" w:hAnsi="Times New Roman" w:cs="Times New Roman"/>
          <w:sz w:val="20"/>
          <w:szCs w:val="20"/>
        </w:rPr>
        <w:t xml:space="preserve">, </w:t>
      </w:r>
      <w:r w:rsidR="00044AC5" w:rsidRPr="00314E4C">
        <w:rPr>
          <w:rFonts w:ascii="Times New Roman" w:hAnsi="Times New Roman" w:cs="Times New Roman"/>
          <w:sz w:val="20"/>
          <w:szCs w:val="20"/>
        </w:rPr>
        <w:t>which are more</w:t>
      </w:r>
      <w:r w:rsidR="00756B79" w:rsidRPr="00314E4C">
        <w:rPr>
          <w:rFonts w:ascii="Times New Roman" w:hAnsi="Times New Roman" w:cs="Times New Roman"/>
          <w:sz w:val="20"/>
          <w:szCs w:val="20"/>
        </w:rPr>
        <w:t xml:space="preserve"> </w:t>
      </w:r>
      <w:r w:rsidR="00690BE9" w:rsidRPr="00314E4C">
        <w:rPr>
          <w:rFonts w:ascii="Times New Roman" w:hAnsi="Times New Roman" w:cs="Times New Roman"/>
          <w:sz w:val="20"/>
          <w:szCs w:val="20"/>
        </w:rPr>
        <w:t>appropriate</w:t>
      </w:r>
      <w:r w:rsidR="00756B79" w:rsidRPr="00314E4C">
        <w:rPr>
          <w:rFonts w:ascii="Times New Roman" w:hAnsi="Times New Roman" w:cs="Times New Roman"/>
          <w:sz w:val="20"/>
          <w:szCs w:val="20"/>
        </w:rPr>
        <w:t xml:space="preserve"> for in field measurements.</w:t>
      </w:r>
      <w:r w:rsidR="004157FE" w:rsidRPr="00314E4C">
        <w:rPr>
          <w:rFonts w:ascii="Times New Roman" w:hAnsi="Times New Roman" w:cs="Times New Roman"/>
          <w:sz w:val="20"/>
          <w:szCs w:val="20"/>
        </w:rPr>
        <w:t xml:space="preserve"> </w:t>
      </w:r>
      <w:r w:rsidR="00782070" w:rsidRPr="00314E4C">
        <w:rPr>
          <w:rFonts w:ascii="Times New Roman" w:hAnsi="Times New Roman" w:cs="Times New Roman"/>
          <w:sz w:val="20"/>
          <w:szCs w:val="20"/>
        </w:rPr>
        <w:t>The ZrO</w:t>
      </w:r>
      <w:r w:rsidR="00782070" w:rsidRPr="00314E4C">
        <w:rPr>
          <w:rFonts w:ascii="Times New Roman" w:hAnsi="Times New Roman" w:cs="Times New Roman"/>
          <w:sz w:val="20"/>
          <w:szCs w:val="20"/>
          <w:vertAlign w:val="subscript"/>
        </w:rPr>
        <w:t>2</w:t>
      </w:r>
      <w:r w:rsidR="00782070" w:rsidRPr="00314E4C">
        <w:rPr>
          <w:rFonts w:ascii="Times New Roman" w:hAnsi="Times New Roman" w:cs="Times New Roman"/>
          <w:sz w:val="20"/>
          <w:szCs w:val="20"/>
        </w:rPr>
        <w:t xml:space="preserve"> nanoparticles modified electrodes</w:t>
      </w:r>
      <w:r w:rsidR="00951F57" w:rsidRPr="00314E4C">
        <w:rPr>
          <w:rFonts w:ascii="Times New Roman" w:hAnsi="Times New Roman" w:cs="Times New Roman"/>
          <w:sz w:val="20"/>
          <w:szCs w:val="20"/>
        </w:rPr>
        <w:t>, as an example,</w:t>
      </w:r>
      <w:r w:rsidR="00782070" w:rsidRPr="00314E4C">
        <w:rPr>
          <w:rFonts w:ascii="Times New Roman" w:hAnsi="Times New Roman" w:cs="Times New Roman"/>
          <w:sz w:val="20"/>
          <w:szCs w:val="20"/>
        </w:rPr>
        <w:t xml:space="preserve"> revealed </w:t>
      </w:r>
      <w:r w:rsidR="00946651" w:rsidRPr="00314E4C">
        <w:rPr>
          <w:rFonts w:ascii="Times New Roman" w:hAnsi="Times New Roman" w:cs="Times New Roman"/>
          <w:sz w:val="20"/>
          <w:szCs w:val="20"/>
        </w:rPr>
        <w:t>excellent</w:t>
      </w:r>
      <w:r w:rsidR="00782070" w:rsidRPr="00314E4C">
        <w:rPr>
          <w:rFonts w:ascii="Times New Roman" w:hAnsi="Times New Roman" w:cs="Times New Roman"/>
          <w:sz w:val="20"/>
          <w:szCs w:val="20"/>
        </w:rPr>
        <w:t xml:space="preserve"> performances for OPs determination</w:t>
      </w:r>
      <w:r w:rsidR="008D2090" w:rsidRPr="00314E4C">
        <w:rPr>
          <w:rFonts w:ascii="Times New Roman" w:hAnsi="Times New Roman" w:cs="Times New Roman"/>
          <w:sz w:val="20"/>
          <w:szCs w:val="20"/>
        </w:rPr>
        <w:t xml:space="preserve"> [</w:t>
      </w:r>
      <w:r w:rsidR="00D857E3" w:rsidRPr="00C35319">
        <w:rPr>
          <w:rFonts w:ascii="Times New Roman" w:hAnsi="Times New Roman" w:cs="Times New Roman"/>
          <w:sz w:val="20"/>
          <w:szCs w:val="20"/>
        </w:rPr>
        <w:t>8</w:t>
      </w:r>
      <w:r w:rsidR="00951F57" w:rsidRPr="00314E4C">
        <w:rPr>
          <w:rFonts w:ascii="Times New Roman" w:hAnsi="Times New Roman" w:cs="Times New Roman"/>
          <w:sz w:val="20"/>
          <w:szCs w:val="20"/>
        </w:rPr>
        <w:t>]</w:t>
      </w:r>
      <w:r w:rsidR="00782070" w:rsidRPr="00314E4C">
        <w:rPr>
          <w:rFonts w:ascii="Times New Roman" w:hAnsi="Times New Roman" w:cs="Times New Roman"/>
          <w:sz w:val="20"/>
          <w:szCs w:val="20"/>
        </w:rPr>
        <w:t>, because of the ZrO</w:t>
      </w:r>
      <w:r w:rsidR="00782070" w:rsidRPr="00314E4C">
        <w:rPr>
          <w:rFonts w:ascii="Times New Roman" w:hAnsi="Times New Roman" w:cs="Times New Roman"/>
          <w:sz w:val="20"/>
          <w:szCs w:val="20"/>
          <w:vertAlign w:val="subscript"/>
        </w:rPr>
        <w:t>2</w:t>
      </w:r>
      <w:r w:rsidR="00782070" w:rsidRPr="00314E4C">
        <w:rPr>
          <w:rFonts w:ascii="Times New Roman" w:hAnsi="Times New Roman" w:cs="Times New Roman"/>
          <w:sz w:val="20"/>
          <w:szCs w:val="20"/>
        </w:rPr>
        <w:t xml:space="preserve"> affinity for phosphoric groups, expl</w:t>
      </w:r>
      <w:r w:rsidR="003344F9" w:rsidRPr="00314E4C">
        <w:rPr>
          <w:rFonts w:ascii="Times New Roman" w:hAnsi="Times New Roman" w:cs="Times New Roman"/>
          <w:sz w:val="20"/>
          <w:szCs w:val="20"/>
        </w:rPr>
        <w:t>oited in solid-phase extraction</w:t>
      </w:r>
      <w:r w:rsidR="00241BED" w:rsidRPr="00314E4C">
        <w:rPr>
          <w:rFonts w:ascii="Times New Roman" w:hAnsi="Times New Roman" w:cs="Times New Roman"/>
          <w:sz w:val="20"/>
          <w:szCs w:val="20"/>
        </w:rPr>
        <w:t>.</w:t>
      </w:r>
      <w:r w:rsidR="008D1FD0" w:rsidRPr="00314E4C">
        <w:rPr>
          <w:rFonts w:ascii="Times New Roman" w:hAnsi="Times New Roman" w:cs="Times New Roman"/>
          <w:sz w:val="20"/>
          <w:szCs w:val="20"/>
        </w:rPr>
        <w:t xml:space="preserve"> </w:t>
      </w:r>
      <w:r w:rsidR="00951F57" w:rsidRPr="00314E4C">
        <w:rPr>
          <w:rFonts w:ascii="Times New Roman" w:hAnsi="Times New Roman" w:cs="Times New Roman"/>
          <w:sz w:val="20"/>
          <w:szCs w:val="20"/>
        </w:rPr>
        <w:t xml:space="preserve">However, </w:t>
      </w:r>
      <w:r w:rsidR="006C5D61" w:rsidRPr="00314E4C">
        <w:rPr>
          <w:rFonts w:ascii="Times New Roman" w:hAnsi="Times New Roman" w:cs="Times New Roman"/>
          <w:sz w:val="20"/>
          <w:szCs w:val="20"/>
        </w:rPr>
        <w:t xml:space="preserve">a loss of surface area was observed, </w:t>
      </w:r>
      <w:r w:rsidR="00951F57" w:rsidRPr="00314E4C">
        <w:rPr>
          <w:rFonts w:ascii="Times New Roman" w:hAnsi="Times New Roman" w:cs="Times New Roman"/>
          <w:sz w:val="20"/>
          <w:szCs w:val="20"/>
        </w:rPr>
        <w:t xml:space="preserve">when </w:t>
      </w:r>
      <w:r w:rsidR="006C5D61" w:rsidRPr="00314E4C">
        <w:rPr>
          <w:rFonts w:ascii="Times New Roman" w:hAnsi="Times New Roman" w:cs="Times New Roman"/>
          <w:sz w:val="20"/>
          <w:szCs w:val="20"/>
        </w:rPr>
        <w:t>ZrO</w:t>
      </w:r>
      <w:r w:rsidR="006C5D61" w:rsidRPr="00314E4C">
        <w:rPr>
          <w:rFonts w:ascii="Times New Roman" w:hAnsi="Times New Roman" w:cs="Times New Roman"/>
          <w:sz w:val="20"/>
          <w:szCs w:val="20"/>
          <w:vertAlign w:val="subscript"/>
        </w:rPr>
        <w:t>2</w:t>
      </w:r>
      <w:r w:rsidR="006C5D61" w:rsidRPr="00314E4C">
        <w:rPr>
          <w:rFonts w:ascii="Times New Roman" w:hAnsi="Times New Roman" w:cs="Times New Roman"/>
          <w:sz w:val="20"/>
          <w:szCs w:val="20"/>
        </w:rPr>
        <w:t xml:space="preserve"> served</w:t>
      </w:r>
      <w:r w:rsidR="00951F57" w:rsidRPr="00314E4C">
        <w:rPr>
          <w:rFonts w:ascii="Times New Roman" w:hAnsi="Times New Roman" w:cs="Times New Roman"/>
          <w:sz w:val="20"/>
          <w:szCs w:val="20"/>
        </w:rPr>
        <w:t xml:space="preserve"> as high surface area catalyst [</w:t>
      </w:r>
      <w:r w:rsidR="00D857E3" w:rsidRPr="00C35319">
        <w:rPr>
          <w:rFonts w:ascii="Times New Roman" w:hAnsi="Times New Roman" w:cs="Times New Roman"/>
          <w:sz w:val="20"/>
          <w:szCs w:val="20"/>
        </w:rPr>
        <w:t>9</w:t>
      </w:r>
      <w:r w:rsidR="00401AE6" w:rsidRPr="00314E4C">
        <w:rPr>
          <w:rFonts w:ascii="Times New Roman" w:hAnsi="Times New Roman" w:cs="Times New Roman"/>
          <w:sz w:val="20"/>
          <w:szCs w:val="20"/>
        </w:rPr>
        <w:t xml:space="preserve">]. </w:t>
      </w:r>
      <w:r w:rsidR="001D26EC" w:rsidRPr="00314E4C">
        <w:rPr>
          <w:rFonts w:ascii="Times New Roman" w:hAnsi="Times New Roman" w:cs="Times New Roman"/>
          <w:sz w:val="20"/>
          <w:szCs w:val="20"/>
        </w:rPr>
        <w:t>Therefore, c</w:t>
      </w:r>
      <w:r w:rsidR="00401AE6" w:rsidRPr="00314E4C">
        <w:rPr>
          <w:rFonts w:ascii="Times New Roman" w:hAnsi="Times New Roman" w:cs="Times New Roman"/>
          <w:sz w:val="20"/>
          <w:szCs w:val="20"/>
        </w:rPr>
        <w:t xml:space="preserve">arbon nanotubes (CNTs) were also </w:t>
      </w:r>
      <w:r w:rsidR="001D26EC" w:rsidRPr="00314E4C">
        <w:rPr>
          <w:rFonts w:ascii="Times New Roman" w:hAnsi="Times New Roman" w:cs="Times New Roman"/>
          <w:sz w:val="20"/>
          <w:szCs w:val="20"/>
        </w:rPr>
        <w:t>used</w:t>
      </w:r>
      <w:r w:rsidR="00401AE6" w:rsidRPr="00314E4C">
        <w:rPr>
          <w:rFonts w:ascii="Times New Roman" w:hAnsi="Times New Roman" w:cs="Times New Roman"/>
          <w:sz w:val="20"/>
          <w:szCs w:val="20"/>
        </w:rPr>
        <w:t xml:space="preserve"> as </w:t>
      </w:r>
      <w:r w:rsidR="00F83451" w:rsidRPr="00314E4C">
        <w:rPr>
          <w:rFonts w:ascii="Times New Roman" w:hAnsi="Times New Roman" w:cs="Times New Roman"/>
          <w:sz w:val="20"/>
          <w:szCs w:val="20"/>
        </w:rPr>
        <w:t>appropriate</w:t>
      </w:r>
      <w:r w:rsidR="00401AE6" w:rsidRPr="00314E4C">
        <w:rPr>
          <w:rFonts w:ascii="Times New Roman" w:hAnsi="Times New Roman" w:cs="Times New Roman"/>
          <w:sz w:val="20"/>
          <w:szCs w:val="20"/>
        </w:rPr>
        <w:t xml:space="preserve"> sorbent for nitro phenyl-substituted OPs, because of the </w:t>
      </w:r>
      <w:r w:rsidR="00F00E43" w:rsidRPr="00314E4C">
        <w:rPr>
          <w:rFonts w:ascii="Times New Roman" w:hAnsi="Times New Roman" w:cs="Times New Roman"/>
          <w:sz w:val="20"/>
          <w:szCs w:val="20"/>
        </w:rPr>
        <w:t>π-conjugated interactions upon the benzene ring</w:t>
      </w:r>
      <w:r w:rsidR="0035244D" w:rsidRPr="00314E4C">
        <w:rPr>
          <w:rFonts w:ascii="Times New Roman" w:hAnsi="Times New Roman" w:cs="Times New Roman"/>
          <w:sz w:val="20"/>
          <w:szCs w:val="20"/>
        </w:rPr>
        <w:t xml:space="preserve"> [</w:t>
      </w:r>
      <w:r w:rsidR="00D857E3" w:rsidRPr="00C35319">
        <w:rPr>
          <w:rFonts w:ascii="Times New Roman" w:hAnsi="Times New Roman" w:cs="Times New Roman"/>
          <w:sz w:val="20"/>
          <w:szCs w:val="20"/>
        </w:rPr>
        <w:t>9</w:t>
      </w:r>
      <w:r w:rsidR="0035244D" w:rsidRPr="00314E4C">
        <w:rPr>
          <w:rFonts w:ascii="Times New Roman" w:hAnsi="Times New Roman" w:cs="Times New Roman"/>
          <w:sz w:val="20"/>
          <w:szCs w:val="20"/>
        </w:rPr>
        <w:t>]</w:t>
      </w:r>
      <w:r w:rsidR="00401AE6" w:rsidRPr="00314E4C">
        <w:rPr>
          <w:rFonts w:ascii="Times New Roman" w:hAnsi="Times New Roman" w:cs="Times New Roman"/>
          <w:sz w:val="20"/>
          <w:szCs w:val="20"/>
        </w:rPr>
        <w:t xml:space="preserve">. Moreover, </w:t>
      </w:r>
      <w:r w:rsidR="003C5E70" w:rsidRPr="00314E4C">
        <w:rPr>
          <w:rFonts w:ascii="Times New Roman" w:hAnsi="Times New Roman" w:cs="Times New Roman"/>
          <w:sz w:val="20"/>
          <w:szCs w:val="20"/>
        </w:rPr>
        <w:t xml:space="preserve">the </w:t>
      </w:r>
      <w:r w:rsidR="00401AE6" w:rsidRPr="00314E4C">
        <w:rPr>
          <w:rFonts w:ascii="Times New Roman" w:hAnsi="Times New Roman" w:cs="Times New Roman"/>
          <w:sz w:val="20"/>
          <w:szCs w:val="20"/>
        </w:rPr>
        <w:t xml:space="preserve">CNTs </w:t>
      </w:r>
      <w:r w:rsidR="00756B79" w:rsidRPr="00314E4C">
        <w:rPr>
          <w:rFonts w:ascii="Times New Roman" w:hAnsi="Times New Roman" w:cs="Times New Roman"/>
          <w:sz w:val="20"/>
          <w:szCs w:val="20"/>
        </w:rPr>
        <w:t xml:space="preserve">modified electrodes, because of </w:t>
      </w:r>
      <w:r w:rsidR="00951F57" w:rsidRPr="00314E4C">
        <w:rPr>
          <w:rFonts w:ascii="Times New Roman" w:hAnsi="Times New Roman" w:cs="Times New Roman"/>
          <w:sz w:val="20"/>
          <w:szCs w:val="20"/>
        </w:rPr>
        <w:t xml:space="preserve">the large surface to volume ratio and electrocatalytic properties </w:t>
      </w:r>
      <w:r w:rsidR="00756B79" w:rsidRPr="00314E4C">
        <w:rPr>
          <w:rFonts w:ascii="Times New Roman" w:hAnsi="Times New Roman" w:cs="Times New Roman"/>
          <w:sz w:val="20"/>
          <w:szCs w:val="20"/>
        </w:rPr>
        <w:t>of the nanomaterial,</w:t>
      </w:r>
      <w:r w:rsidR="003C5E70" w:rsidRPr="00314E4C">
        <w:rPr>
          <w:rFonts w:ascii="Times New Roman" w:hAnsi="Times New Roman" w:cs="Times New Roman"/>
          <w:sz w:val="20"/>
          <w:szCs w:val="20"/>
        </w:rPr>
        <w:t xml:space="preserve"> display</w:t>
      </w:r>
      <w:r w:rsidR="00951F57" w:rsidRPr="00314E4C">
        <w:rPr>
          <w:rFonts w:ascii="Times New Roman" w:hAnsi="Times New Roman" w:cs="Times New Roman"/>
          <w:sz w:val="20"/>
          <w:szCs w:val="20"/>
        </w:rPr>
        <w:t xml:space="preserve"> </w:t>
      </w:r>
      <w:r w:rsidR="003C5E70" w:rsidRPr="00314E4C">
        <w:rPr>
          <w:rFonts w:ascii="Times New Roman" w:hAnsi="Times New Roman" w:cs="Times New Roman"/>
          <w:sz w:val="20"/>
          <w:szCs w:val="20"/>
        </w:rPr>
        <w:t xml:space="preserve">an enhanced electron transfer </w:t>
      </w:r>
      <w:r w:rsidR="00F3274D" w:rsidRPr="00314E4C">
        <w:rPr>
          <w:rFonts w:ascii="Times New Roman" w:hAnsi="Times New Roman" w:cs="Times New Roman"/>
          <w:sz w:val="20"/>
          <w:szCs w:val="20"/>
        </w:rPr>
        <w:t>rate</w:t>
      </w:r>
      <w:r w:rsidR="00951F57" w:rsidRPr="00314E4C">
        <w:rPr>
          <w:rFonts w:ascii="Times New Roman" w:hAnsi="Times New Roman" w:cs="Times New Roman"/>
          <w:sz w:val="20"/>
          <w:szCs w:val="20"/>
        </w:rPr>
        <w:t xml:space="preserve">, </w:t>
      </w:r>
      <w:r w:rsidR="003C5E70" w:rsidRPr="00314E4C">
        <w:rPr>
          <w:rFonts w:ascii="Times New Roman" w:hAnsi="Times New Roman" w:cs="Times New Roman"/>
          <w:sz w:val="20"/>
          <w:szCs w:val="20"/>
        </w:rPr>
        <w:t xml:space="preserve">increased </w:t>
      </w:r>
      <w:r w:rsidR="00951F57" w:rsidRPr="00314E4C">
        <w:rPr>
          <w:rFonts w:ascii="Times New Roman" w:hAnsi="Times New Roman" w:cs="Times New Roman"/>
          <w:sz w:val="20"/>
          <w:szCs w:val="20"/>
        </w:rPr>
        <w:t xml:space="preserve">sensitivity, and </w:t>
      </w:r>
      <w:r w:rsidR="003C5E70" w:rsidRPr="00314E4C">
        <w:rPr>
          <w:rFonts w:ascii="Times New Roman" w:hAnsi="Times New Roman" w:cs="Times New Roman"/>
          <w:sz w:val="20"/>
          <w:szCs w:val="20"/>
        </w:rPr>
        <w:t xml:space="preserve">reduced </w:t>
      </w:r>
      <w:r w:rsidR="00951F57" w:rsidRPr="00314E4C">
        <w:rPr>
          <w:rFonts w:ascii="Times New Roman" w:hAnsi="Times New Roman" w:cs="Times New Roman"/>
          <w:sz w:val="20"/>
          <w:szCs w:val="20"/>
        </w:rPr>
        <w:t>surface fouli</w:t>
      </w:r>
      <w:r w:rsidR="003C5E70" w:rsidRPr="00314E4C">
        <w:rPr>
          <w:rFonts w:ascii="Times New Roman" w:hAnsi="Times New Roman" w:cs="Times New Roman"/>
          <w:sz w:val="20"/>
          <w:szCs w:val="20"/>
        </w:rPr>
        <w:t>ng.</w:t>
      </w:r>
      <w:r w:rsidR="008D3820" w:rsidRPr="00314E4C">
        <w:rPr>
          <w:rFonts w:ascii="Times New Roman" w:hAnsi="Times New Roman" w:cs="Times New Roman"/>
          <w:sz w:val="20"/>
          <w:szCs w:val="20"/>
        </w:rPr>
        <w:t xml:space="preserve"> Hence, </w:t>
      </w:r>
      <w:r w:rsidR="00F83451" w:rsidRPr="00314E4C">
        <w:rPr>
          <w:rFonts w:ascii="Times New Roman" w:hAnsi="Times New Roman" w:cs="Times New Roman"/>
          <w:sz w:val="20"/>
          <w:szCs w:val="20"/>
        </w:rPr>
        <w:t>CNTs</w:t>
      </w:r>
      <w:r w:rsidR="005F7E1C" w:rsidRPr="00314E4C">
        <w:rPr>
          <w:rFonts w:ascii="Times New Roman" w:hAnsi="Times New Roman" w:cs="Times New Roman"/>
          <w:sz w:val="20"/>
          <w:szCs w:val="20"/>
        </w:rPr>
        <w:t>-</w:t>
      </w:r>
      <w:r w:rsidR="00F83451" w:rsidRPr="00314E4C">
        <w:rPr>
          <w:rFonts w:ascii="Times New Roman" w:hAnsi="Times New Roman" w:cs="Times New Roman"/>
          <w:sz w:val="20"/>
          <w:szCs w:val="20"/>
        </w:rPr>
        <w:t xml:space="preserve"> </w:t>
      </w:r>
      <w:r w:rsidR="005F7E1C" w:rsidRPr="00314E4C">
        <w:rPr>
          <w:rFonts w:ascii="Times New Roman" w:hAnsi="Times New Roman" w:cs="Times New Roman"/>
          <w:sz w:val="20"/>
          <w:szCs w:val="20"/>
        </w:rPr>
        <w:t>and CNTs composites-</w:t>
      </w:r>
      <w:r w:rsidR="00F83451" w:rsidRPr="00314E4C">
        <w:rPr>
          <w:rFonts w:ascii="Times New Roman" w:hAnsi="Times New Roman" w:cs="Times New Roman"/>
          <w:sz w:val="20"/>
          <w:szCs w:val="20"/>
        </w:rPr>
        <w:t>modified</w:t>
      </w:r>
      <w:r w:rsidR="008D3820" w:rsidRPr="00314E4C">
        <w:rPr>
          <w:rFonts w:ascii="Times New Roman" w:hAnsi="Times New Roman" w:cs="Times New Roman"/>
          <w:sz w:val="20"/>
          <w:szCs w:val="20"/>
        </w:rPr>
        <w:t xml:space="preserve"> electrodes were applied</w:t>
      </w:r>
      <w:r w:rsidR="00662196" w:rsidRPr="00314E4C">
        <w:rPr>
          <w:rFonts w:ascii="Times New Roman" w:hAnsi="Times New Roman" w:cs="Times New Roman"/>
          <w:sz w:val="20"/>
          <w:szCs w:val="20"/>
        </w:rPr>
        <w:t>, among other,</w:t>
      </w:r>
      <w:r w:rsidR="008D3820" w:rsidRPr="00314E4C">
        <w:rPr>
          <w:rFonts w:ascii="Times New Roman" w:hAnsi="Times New Roman" w:cs="Times New Roman"/>
          <w:sz w:val="20"/>
          <w:szCs w:val="20"/>
        </w:rPr>
        <w:t xml:space="preserve"> for the s</w:t>
      </w:r>
      <w:r w:rsidR="008D2090" w:rsidRPr="00314E4C">
        <w:rPr>
          <w:rFonts w:ascii="Times New Roman" w:hAnsi="Times New Roman" w:cs="Times New Roman"/>
          <w:sz w:val="20"/>
          <w:szCs w:val="20"/>
        </w:rPr>
        <w:t>ensitive OPs determination [</w:t>
      </w:r>
      <w:r w:rsidR="00D857E3" w:rsidRPr="00C35319">
        <w:rPr>
          <w:rFonts w:ascii="Times New Roman" w:hAnsi="Times New Roman" w:cs="Times New Roman"/>
          <w:sz w:val="20"/>
          <w:szCs w:val="20"/>
        </w:rPr>
        <w:t>10-13</w:t>
      </w:r>
      <w:r w:rsidR="008D3820" w:rsidRPr="00314E4C">
        <w:rPr>
          <w:rFonts w:ascii="Times New Roman" w:hAnsi="Times New Roman" w:cs="Times New Roman"/>
          <w:sz w:val="20"/>
          <w:szCs w:val="20"/>
        </w:rPr>
        <w:t>].</w:t>
      </w:r>
      <w:r w:rsidR="00FE349E" w:rsidRPr="00314E4C">
        <w:rPr>
          <w:rFonts w:ascii="Times New Roman" w:hAnsi="Times New Roman" w:cs="Times New Roman"/>
          <w:sz w:val="20"/>
          <w:szCs w:val="20"/>
        </w:rPr>
        <w:t xml:space="preserve"> </w:t>
      </w:r>
      <w:r w:rsidR="006344A6" w:rsidRPr="00314E4C">
        <w:rPr>
          <w:rFonts w:ascii="Times New Roman" w:hAnsi="Times New Roman" w:cs="Times New Roman"/>
          <w:sz w:val="20"/>
          <w:szCs w:val="20"/>
        </w:rPr>
        <w:t xml:space="preserve">However, the price </w:t>
      </w:r>
      <w:r w:rsidR="008D2090" w:rsidRPr="00314E4C">
        <w:rPr>
          <w:rFonts w:ascii="Times New Roman" w:hAnsi="Times New Roman" w:cs="Times New Roman"/>
          <w:sz w:val="20"/>
          <w:szCs w:val="20"/>
        </w:rPr>
        <w:t>of the CNTs is still too high [</w:t>
      </w:r>
      <w:r w:rsidR="00D857E3" w:rsidRPr="00C35319">
        <w:rPr>
          <w:rFonts w:ascii="Times New Roman" w:hAnsi="Times New Roman" w:cs="Times New Roman"/>
          <w:sz w:val="20"/>
          <w:szCs w:val="20"/>
        </w:rPr>
        <w:t>14</w:t>
      </w:r>
      <w:r w:rsidR="006344A6" w:rsidRPr="00314E4C">
        <w:rPr>
          <w:rFonts w:ascii="Times New Roman" w:hAnsi="Times New Roman" w:cs="Times New Roman"/>
          <w:sz w:val="20"/>
          <w:szCs w:val="20"/>
        </w:rPr>
        <w:t>].</w:t>
      </w:r>
      <w:r w:rsidR="00612413" w:rsidRPr="00314E4C">
        <w:rPr>
          <w:rFonts w:ascii="Times New Roman" w:hAnsi="Times New Roman" w:cs="Times New Roman"/>
          <w:sz w:val="20"/>
          <w:szCs w:val="20"/>
        </w:rPr>
        <w:t xml:space="preserve"> </w:t>
      </w:r>
      <w:r w:rsidR="008459F8" w:rsidRPr="00314E4C">
        <w:rPr>
          <w:rFonts w:ascii="Times New Roman" w:hAnsi="Times New Roman" w:cs="Times New Roman"/>
          <w:sz w:val="20"/>
          <w:szCs w:val="20"/>
        </w:rPr>
        <w:t xml:space="preserve">Thus, the use of the inexpensive graphite </w:t>
      </w:r>
      <w:r w:rsidR="008459F8" w:rsidRPr="006C734F">
        <w:rPr>
          <w:rFonts w:ascii="Times New Roman" w:hAnsi="Times New Roman" w:cs="Times New Roman"/>
          <w:sz w:val="20"/>
          <w:szCs w:val="20"/>
        </w:rPr>
        <w:t xml:space="preserve">nanopowder </w:t>
      </w:r>
      <w:r w:rsidR="006358EB" w:rsidRPr="006C734F">
        <w:rPr>
          <w:rFonts w:ascii="Times New Roman" w:hAnsi="Times New Roman" w:cs="Times New Roman"/>
          <w:sz w:val="20"/>
          <w:szCs w:val="20"/>
        </w:rPr>
        <w:t xml:space="preserve">can </w:t>
      </w:r>
      <w:r w:rsidR="008459F8" w:rsidRPr="006C734F">
        <w:rPr>
          <w:rFonts w:ascii="Times New Roman" w:hAnsi="Times New Roman" w:cs="Times New Roman"/>
          <w:sz w:val="20"/>
          <w:szCs w:val="20"/>
        </w:rPr>
        <w:t xml:space="preserve">be an option for electrode modification. </w:t>
      </w:r>
      <w:r w:rsidR="00D97A95" w:rsidRPr="006C734F">
        <w:rPr>
          <w:rFonts w:ascii="Times New Roman" w:hAnsi="Times New Roman" w:cs="Times New Roman"/>
          <w:sz w:val="20"/>
          <w:szCs w:val="20"/>
        </w:rPr>
        <w:t xml:space="preserve">Graphite nanopowder is a graphitic carbon with high surface area. </w:t>
      </w:r>
      <w:r w:rsidR="00A43B68" w:rsidRPr="006C734F">
        <w:rPr>
          <w:rFonts w:ascii="Times New Roman" w:hAnsi="Times New Roman" w:cs="Times New Roman"/>
          <w:sz w:val="20"/>
          <w:szCs w:val="20"/>
        </w:rPr>
        <w:t xml:space="preserve">Stable aqueous suspensions of graphite </w:t>
      </w:r>
      <w:r w:rsidR="006358EB" w:rsidRPr="006C734F">
        <w:rPr>
          <w:rFonts w:ascii="Times New Roman" w:hAnsi="Times New Roman" w:cs="Times New Roman"/>
          <w:sz w:val="20"/>
          <w:szCs w:val="20"/>
        </w:rPr>
        <w:t>can</w:t>
      </w:r>
      <w:r w:rsidR="00A43B68" w:rsidRPr="006C734F">
        <w:rPr>
          <w:rFonts w:ascii="Times New Roman" w:hAnsi="Times New Roman" w:cs="Times New Roman"/>
          <w:sz w:val="20"/>
          <w:szCs w:val="20"/>
        </w:rPr>
        <w:t xml:space="preserve"> </w:t>
      </w:r>
      <w:r w:rsidR="00966D4B" w:rsidRPr="006C734F">
        <w:rPr>
          <w:rFonts w:ascii="Times New Roman" w:hAnsi="Times New Roman" w:cs="Times New Roman"/>
          <w:sz w:val="20"/>
          <w:szCs w:val="20"/>
        </w:rPr>
        <w:t xml:space="preserve">be obtained by using clays as </w:t>
      </w:r>
      <w:r w:rsidR="00A43B68" w:rsidRPr="006C734F">
        <w:rPr>
          <w:rFonts w:ascii="Times New Roman" w:hAnsi="Times New Roman" w:cs="Times New Roman"/>
          <w:sz w:val="20"/>
          <w:szCs w:val="20"/>
        </w:rPr>
        <w:t>dispersing agent</w:t>
      </w:r>
      <w:r w:rsidR="00966D4B" w:rsidRPr="006C734F">
        <w:rPr>
          <w:rFonts w:ascii="Times New Roman" w:hAnsi="Times New Roman" w:cs="Times New Roman"/>
          <w:sz w:val="20"/>
          <w:szCs w:val="20"/>
        </w:rPr>
        <w:t>s</w:t>
      </w:r>
      <w:r w:rsidR="00A43B68" w:rsidRPr="006C734F">
        <w:rPr>
          <w:rFonts w:ascii="Times New Roman" w:hAnsi="Times New Roman" w:cs="Times New Roman"/>
          <w:sz w:val="20"/>
          <w:szCs w:val="20"/>
        </w:rPr>
        <w:t xml:space="preserve">. Such </w:t>
      </w:r>
      <w:r w:rsidR="003D2C1C" w:rsidRPr="006C734F">
        <w:rPr>
          <w:rFonts w:ascii="Times New Roman" w:hAnsi="Times New Roman" w:cs="Times New Roman"/>
          <w:sz w:val="20"/>
          <w:szCs w:val="20"/>
        </w:rPr>
        <w:t>mixtures</w:t>
      </w:r>
      <w:r w:rsidR="00A43B68" w:rsidRPr="006C734F">
        <w:rPr>
          <w:rFonts w:ascii="Times New Roman" w:hAnsi="Times New Roman" w:cs="Times New Roman"/>
          <w:sz w:val="20"/>
          <w:szCs w:val="20"/>
        </w:rPr>
        <w:t xml:space="preserve"> are currently used in pencil leads production at industrial scale. </w:t>
      </w:r>
      <w:r w:rsidR="00AC7FB6" w:rsidRPr="006C734F">
        <w:rPr>
          <w:rFonts w:ascii="Times New Roman" w:hAnsi="Times New Roman" w:cs="Times New Roman"/>
          <w:sz w:val="20"/>
          <w:szCs w:val="20"/>
        </w:rPr>
        <w:t>An</w:t>
      </w:r>
      <w:r w:rsidR="00502949" w:rsidRPr="006C734F">
        <w:rPr>
          <w:rFonts w:ascii="Times New Roman" w:hAnsi="Times New Roman" w:cs="Times New Roman"/>
          <w:sz w:val="20"/>
          <w:szCs w:val="20"/>
        </w:rPr>
        <w:t xml:space="preserve"> effective dispersant of </w:t>
      </w:r>
      <w:r w:rsidR="0020323E" w:rsidRPr="006C734F">
        <w:rPr>
          <w:rFonts w:ascii="Times New Roman" w:hAnsi="Times New Roman" w:cs="Times New Roman"/>
          <w:sz w:val="20"/>
          <w:szCs w:val="20"/>
        </w:rPr>
        <w:t xml:space="preserve">the carbonaceous </w:t>
      </w:r>
      <w:r w:rsidR="000539C1" w:rsidRPr="006C734F">
        <w:rPr>
          <w:rFonts w:ascii="Times New Roman" w:hAnsi="Times New Roman" w:cs="Times New Roman"/>
          <w:sz w:val="20"/>
          <w:szCs w:val="20"/>
        </w:rPr>
        <w:t xml:space="preserve">materials, including graphite, graphene, </w:t>
      </w:r>
      <w:r w:rsidR="00651C94" w:rsidRPr="006C734F">
        <w:rPr>
          <w:rFonts w:ascii="Times New Roman" w:hAnsi="Times New Roman" w:cs="Times New Roman"/>
          <w:sz w:val="20"/>
          <w:szCs w:val="20"/>
        </w:rPr>
        <w:t>and CNTs</w:t>
      </w:r>
      <w:r w:rsidR="000539C1" w:rsidRPr="006C734F">
        <w:rPr>
          <w:rFonts w:ascii="Times New Roman" w:hAnsi="Times New Roman" w:cs="Times New Roman"/>
          <w:sz w:val="20"/>
          <w:szCs w:val="20"/>
        </w:rPr>
        <w:t xml:space="preserve"> </w:t>
      </w:r>
      <w:r w:rsidR="00AC7FB6" w:rsidRPr="006C734F">
        <w:rPr>
          <w:rFonts w:ascii="Times New Roman" w:hAnsi="Times New Roman" w:cs="Times New Roman"/>
          <w:sz w:val="20"/>
          <w:szCs w:val="20"/>
        </w:rPr>
        <w:t>is the synthetic</w:t>
      </w:r>
      <w:r w:rsidR="00AC7FB6" w:rsidRPr="00314E4C">
        <w:rPr>
          <w:rFonts w:ascii="Times New Roman" w:hAnsi="Times New Roman" w:cs="Times New Roman"/>
          <w:sz w:val="20"/>
          <w:szCs w:val="20"/>
        </w:rPr>
        <w:t xml:space="preserve"> clay laponite </w:t>
      </w:r>
      <w:r w:rsidR="000539C1" w:rsidRPr="00314E4C">
        <w:rPr>
          <w:rFonts w:ascii="Times New Roman" w:hAnsi="Times New Roman" w:cs="Times New Roman"/>
          <w:sz w:val="20"/>
          <w:szCs w:val="20"/>
        </w:rPr>
        <w:t>[</w:t>
      </w:r>
      <w:r w:rsidR="00D857E3" w:rsidRPr="00C35319">
        <w:rPr>
          <w:rFonts w:ascii="Times New Roman" w:hAnsi="Times New Roman" w:cs="Times New Roman"/>
          <w:sz w:val="20"/>
          <w:szCs w:val="20"/>
        </w:rPr>
        <w:t>15-18</w:t>
      </w:r>
      <w:r w:rsidR="00CA3D4E" w:rsidRPr="00C35319">
        <w:rPr>
          <w:rFonts w:ascii="Times New Roman" w:hAnsi="Times New Roman" w:cs="Times New Roman"/>
          <w:sz w:val="20"/>
          <w:szCs w:val="20"/>
        </w:rPr>
        <w:t>].</w:t>
      </w:r>
    </w:p>
    <w:p w14:paraId="504809B9" w14:textId="796727ED" w:rsidR="00683274" w:rsidRPr="00314E4C" w:rsidRDefault="0059638A" w:rsidP="000435B3">
      <w:pPr>
        <w:pStyle w:val="NoSpacing"/>
        <w:ind w:firstLine="284"/>
        <w:jc w:val="both"/>
        <w:rPr>
          <w:rFonts w:ascii="Times New Roman" w:hAnsi="Times New Roman" w:cs="Times New Roman"/>
          <w:sz w:val="20"/>
          <w:szCs w:val="20"/>
        </w:rPr>
      </w:pPr>
      <w:r w:rsidRPr="00314E4C">
        <w:rPr>
          <w:rFonts w:ascii="Times New Roman" w:hAnsi="Times New Roman" w:cs="Times New Roman"/>
          <w:sz w:val="20"/>
          <w:szCs w:val="20"/>
        </w:rPr>
        <w:lastRenderedPageBreak/>
        <w:t xml:space="preserve">From the other hand, </w:t>
      </w:r>
      <w:r w:rsidR="00EE2317" w:rsidRPr="00314E4C">
        <w:rPr>
          <w:rFonts w:ascii="Times New Roman" w:hAnsi="Times New Roman" w:cs="Times New Roman"/>
          <w:sz w:val="20"/>
          <w:szCs w:val="20"/>
        </w:rPr>
        <w:t xml:space="preserve">particularly attractive for OPs determination are </w:t>
      </w:r>
      <w:r w:rsidRPr="00314E4C">
        <w:rPr>
          <w:rFonts w:ascii="Times New Roman" w:hAnsi="Times New Roman" w:cs="Times New Roman"/>
          <w:sz w:val="20"/>
          <w:szCs w:val="20"/>
        </w:rPr>
        <w:t xml:space="preserve">the bismuth film </w:t>
      </w:r>
      <w:r w:rsidR="00EE2317" w:rsidRPr="00314E4C">
        <w:rPr>
          <w:rFonts w:ascii="Times New Roman" w:hAnsi="Times New Roman" w:cs="Times New Roman"/>
          <w:sz w:val="20"/>
          <w:szCs w:val="20"/>
        </w:rPr>
        <w:t>modified electrodes</w:t>
      </w:r>
      <w:r w:rsidR="006344A6" w:rsidRPr="00314E4C">
        <w:rPr>
          <w:rFonts w:ascii="Times New Roman" w:hAnsi="Times New Roman" w:cs="Times New Roman"/>
          <w:sz w:val="20"/>
          <w:szCs w:val="20"/>
        </w:rPr>
        <w:t xml:space="preserve"> [</w:t>
      </w:r>
      <w:r w:rsidR="002535BA" w:rsidRPr="00C35319">
        <w:rPr>
          <w:rFonts w:ascii="Times New Roman" w:hAnsi="Times New Roman" w:cs="Times New Roman"/>
          <w:sz w:val="20"/>
          <w:szCs w:val="20"/>
        </w:rPr>
        <w:t>19</w:t>
      </w:r>
      <w:r w:rsidR="00EE51DE" w:rsidRPr="00314E4C">
        <w:rPr>
          <w:rFonts w:ascii="Times New Roman" w:hAnsi="Times New Roman" w:cs="Times New Roman"/>
          <w:sz w:val="20"/>
          <w:szCs w:val="20"/>
        </w:rPr>
        <w:t xml:space="preserve">]. </w:t>
      </w:r>
      <w:r w:rsidR="000367B9" w:rsidRPr="00314E4C">
        <w:rPr>
          <w:rFonts w:ascii="Times New Roman" w:hAnsi="Times New Roman" w:cs="Times New Roman"/>
          <w:sz w:val="20"/>
          <w:szCs w:val="20"/>
        </w:rPr>
        <w:t>The</w:t>
      </w:r>
      <w:r w:rsidR="0009175D" w:rsidRPr="00314E4C">
        <w:rPr>
          <w:rFonts w:ascii="Times New Roman" w:hAnsi="Times New Roman" w:cs="Times New Roman"/>
          <w:sz w:val="20"/>
          <w:szCs w:val="20"/>
        </w:rPr>
        <w:t>ir</w:t>
      </w:r>
      <w:r w:rsidR="000435B3" w:rsidRPr="00314E4C">
        <w:rPr>
          <w:rFonts w:ascii="Times New Roman" w:hAnsi="Times New Roman" w:cs="Times New Roman"/>
          <w:sz w:val="20"/>
          <w:szCs w:val="20"/>
        </w:rPr>
        <w:t xml:space="preserve"> main </w:t>
      </w:r>
      <w:r w:rsidR="000367B9" w:rsidRPr="00314E4C">
        <w:rPr>
          <w:rFonts w:ascii="Times New Roman" w:hAnsi="Times New Roman" w:cs="Times New Roman"/>
          <w:sz w:val="20"/>
          <w:szCs w:val="20"/>
        </w:rPr>
        <w:t xml:space="preserve">advantage </w:t>
      </w:r>
      <w:r w:rsidR="000435B3" w:rsidRPr="00314E4C">
        <w:rPr>
          <w:rFonts w:ascii="Times New Roman" w:hAnsi="Times New Roman" w:cs="Times New Roman"/>
          <w:sz w:val="20"/>
          <w:szCs w:val="20"/>
        </w:rPr>
        <w:t xml:space="preserve">over the other solid </w:t>
      </w:r>
      <w:r w:rsidR="000367B9" w:rsidRPr="00314E4C">
        <w:rPr>
          <w:rFonts w:ascii="Times New Roman" w:hAnsi="Times New Roman" w:cs="Times New Roman"/>
          <w:sz w:val="20"/>
          <w:szCs w:val="20"/>
        </w:rPr>
        <w:t xml:space="preserve">electrodes </w:t>
      </w:r>
      <w:r w:rsidR="000435B3" w:rsidRPr="00314E4C">
        <w:rPr>
          <w:rFonts w:ascii="Times New Roman" w:hAnsi="Times New Roman" w:cs="Times New Roman"/>
          <w:sz w:val="20"/>
          <w:szCs w:val="20"/>
        </w:rPr>
        <w:t xml:space="preserve">resides </w:t>
      </w:r>
      <w:r w:rsidR="0009175D" w:rsidRPr="00314E4C">
        <w:rPr>
          <w:rFonts w:ascii="Times New Roman" w:hAnsi="Times New Roman" w:cs="Times New Roman"/>
          <w:sz w:val="20"/>
          <w:szCs w:val="20"/>
        </w:rPr>
        <w:t xml:space="preserve">in the </w:t>
      </w:r>
      <w:r w:rsidR="00756D87" w:rsidRPr="00314E4C">
        <w:rPr>
          <w:rFonts w:ascii="Times New Roman" w:hAnsi="Times New Roman" w:cs="Times New Roman"/>
          <w:sz w:val="20"/>
          <w:szCs w:val="20"/>
        </w:rPr>
        <w:t>ease</w:t>
      </w:r>
      <w:r w:rsidR="0009175D" w:rsidRPr="00314E4C">
        <w:rPr>
          <w:rFonts w:ascii="Times New Roman" w:hAnsi="Times New Roman" w:cs="Times New Roman"/>
          <w:sz w:val="20"/>
          <w:szCs w:val="20"/>
        </w:rPr>
        <w:t xml:space="preserve"> of the </w:t>
      </w:r>
      <w:r w:rsidR="000367B9" w:rsidRPr="00314E4C">
        <w:rPr>
          <w:rFonts w:ascii="Times New Roman" w:hAnsi="Times New Roman" w:cs="Times New Roman"/>
          <w:sz w:val="20"/>
          <w:szCs w:val="20"/>
        </w:rPr>
        <w:t xml:space="preserve">surface </w:t>
      </w:r>
      <w:r w:rsidR="0009175D" w:rsidRPr="00314E4C">
        <w:rPr>
          <w:rFonts w:ascii="Times New Roman" w:hAnsi="Times New Roman" w:cs="Times New Roman"/>
          <w:sz w:val="20"/>
          <w:szCs w:val="20"/>
        </w:rPr>
        <w:t xml:space="preserve">regeneration by electrochemical dissolution and </w:t>
      </w:r>
      <w:r w:rsidR="00423AF2" w:rsidRPr="00314E4C">
        <w:rPr>
          <w:rFonts w:ascii="Times New Roman" w:hAnsi="Times New Roman" w:cs="Times New Roman"/>
          <w:sz w:val="20"/>
          <w:szCs w:val="20"/>
        </w:rPr>
        <w:t>deposition of the Bi film. They are</w:t>
      </w:r>
      <w:r w:rsidR="0009175D" w:rsidRPr="00314E4C">
        <w:rPr>
          <w:rFonts w:ascii="Times New Roman" w:hAnsi="Times New Roman" w:cs="Times New Roman"/>
          <w:sz w:val="20"/>
          <w:szCs w:val="20"/>
        </w:rPr>
        <w:t xml:space="preserve"> also considered as an alternative to the mercury elec</w:t>
      </w:r>
      <w:r w:rsidR="00C11D6F" w:rsidRPr="00314E4C">
        <w:rPr>
          <w:rFonts w:ascii="Times New Roman" w:hAnsi="Times New Roman" w:cs="Times New Roman"/>
          <w:sz w:val="20"/>
          <w:szCs w:val="20"/>
        </w:rPr>
        <w:t>trodes, since Bi is less toxic.</w:t>
      </w:r>
    </w:p>
    <w:p w14:paraId="504809BA" w14:textId="18A573DA" w:rsidR="005B6E1A" w:rsidRPr="00314E4C" w:rsidRDefault="00722555" w:rsidP="0032324F">
      <w:pPr>
        <w:pStyle w:val="NoSpacing"/>
        <w:ind w:firstLine="284"/>
        <w:jc w:val="both"/>
        <w:rPr>
          <w:rFonts w:ascii="Times New Roman" w:hAnsi="Times New Roman" w:cs="Times New Roman"/>
          <w:sz w:val="20"/>
          <w:szCs w:val="20"/>
        </w:rPr>
      </w:pPr>
      <w:r w:rsidRPr="00314E4C">
        <w:rPr>
          <w:rFonts w:ascii="Times New Roman" w:hAnsi="Times New Roman" w:cs="Times New Roman"/>
          <w:sz w:val="20"/>
          <w:szCs w:val="20"/>
        </w:rPr>
        <w:t>T</w:t>
      </w:r>
      <w:r w:rsidR="004662BE" w:rsidRPr="00314E4C">
        <w:rPr>
          <w:rFonts w:ascii="Times New Roman" w:hAnsi="Times New Roman" w:cs="Times New Roman"/>
          <w:sz w:val="20"/>
          <w:szCs w:val="20"/>
        </w:rPr>
        <w:t xml:space="preserve">he development </w:t>
      </w:r>
      <w:r w:rsidR="005D7BD4" w:rsidRPr="00314E4C">
        <w:rPr>
          <w:rFonts w:ascii="Times New Roman" w:hAnsi="Times New Roman" w:cs="Times New Roman"/>
          <w:sz w:val="20"/>
          <w:szCs w:val="20"/>
        </w:rPr>
        <w:t xml:space="preserve">of a new </w:t>
      </w:r>
      <w:r w:rsidR="00384A36" w:rsidRPr="00314E4C">
        <w:rPr>
          <w:rFonts w:ascii="Times New Roman" w:hAnsi="Times New Roman" w:cs="Times New Roman"/>
          <w:sz w:val="20"/>
          <w:szCs w:val="20"/>
        </w:rPr>
        <w:t>graphite immobilized</w:t>
      </w:r>
      <w:r w:rsidR="005D7BD4" w:rsidRPr="00314E4C">
        <w:rPr>
          <w:rFonts w:ascii="Times New Roman" w:hAnsi="Times New Roman" w:cs="Times New Roman"/>
          <w:sz w:val="20"/>
          <w:szCs w:val="20"/>
        </w:rPr>
        <w:t xml:space="preserve"> Bi-film electrode with enhanced sensitivity for OPs determination is reported in this work. </w:t>
      </w:r>
      <w:r w:rsidR="009F65C2" w:rsidRPr="00314E4C">
        <w:rPr>
          <w:rFonts w:ascii="Times New Roman" w:hAnsi="Times New Roman" w:cs="Times New Roman"/>
          <w:sz w:val="20"/>
          <w:szCs w:val="20"/>
        </w:rPr>
        <w:t xml:space="preserve">The </w:t>
      </w:r>
      <w:r w:rsidR="00D45863" w:rsidRPr="00314E4C">
        <w:rPr>
          <w:rFonts w:ascii="Times New Roman" w:hAnsi="Times New Roman" w:cs="Times New Roman"/>
          <w:sz w:val="20"/>
          <w:szCs w:val="20"/>
        </w:rPr>
        <w:t xml:space="preserve">film was formed by ex situ </w:t>
      </w:r>
      <w:r w:rsidR="009B2F6A" w:rsidRPr="00314E4C">
        <w:rPr>
          <w:rFonts w:ascii="Times New Roman" w:hAnsi="Times New Roman" w:cs="Times New Roman"/>
          <w:sz w:val="20"/>
          <w:szCs w:val="20"/>
        </w:rPr>
        <w:t>plating</w:t>
      </w:r>
      <w:r w:rsidR="00D45863" w:rsidRPr="00314E4C">
        <w:rPr>
          <w:rFonts w:ascii="Times New Roman" w:hAnsi="Times New Roman" w:cs="Times New Roman"/>
          <w:sz w:val="20"/>
          <w:szCs w:val="20"/>
        </w:rPr>
        <w:t xml:space="preserve"> </w:t>
      </w:r>
      <w:r w:rsidR="009B2F6A" w:rsidRPr="00314E4C">
        <w:rPr>
          <w:rFonts w:ascii="Times New Roman" w:hAnsi="Times New Roman" w:cs="Times New Roman"/>
          <w:sz w:val="20"/>
          <w:szCs w:val="20"/>
        </w:rPr>
        <w:t xml:space="preserve">of bismuth </w:t>
      </w:r>
      <w:r w:rsidR="00D45863" w:rsidRPr="00314E4C">
        <w:rPr>
          <w:rFonts w:ascii="Times New Roman" w:hAnsi="Times New Roman" w:cs="Times New Roman"/>
          <w:sz w:val="20"/>
          <w:szCs w:val="20"/>
        </w:rPr>
        <w:t>onto the large surface of a graphite</w:t>
      </w:r>
      <w:r w:rsidR="00420E63" w:rsidRPr="00314E4C">
        <w:rPr>
          <w:rFonts w:ascii="Times New Roman" w:hAnsi="Times New Roman" w:cs="Times New Roman"/>
          <w:sz w:val="20"/>
          <w:szCs w:val="20"/>
        </w:rPr>
        <w:t xml:space="preserve"> </w:t>
      </w:r>
      <w:r w:rsidR="008D2090" w:rsidRPr="00314E4C">
        <w:rPr>
          <w:rFonts w:ascii="Times New Roman" w:hAnsi="Times New Roman" w:cs="Times New Roman"/>
          <w:sz w:val="20"/>
          <w:szCs w:val="20"/>
        </w:rPr>
        <w:t>nanopowder</w:t>
      </w:r>
      <w:r w:rsidR="00D45863" w:rsidRPr="00314E4C">
        <w:rPr>
          <w:rFonts w:ascii="Times New Roman" w:hAnsi="Times New Roman" w:cs="Times New Roman"/>
          <w:sz w:val="20"/>
          <w:szCs w:val="20"/>
        </w:rPr>
        <w:t xml:space="preserve"> modified glassy carbon electrode. Electrode</w:t>
      </w:r>
      <w:r w:rsidR="009F65C2" w:rsidRPr="00314E4C">
        <w:rPr>
          <w:rFonts w:ascii="Times New Roman" w:hAnsi="Times New Roman" w:cs="Times New Roman"/>
          <w:sz w:val="20"/>
          <w:szCs w:val="20"/>
        </w:rPr>
        <w:t xml:space="preserve"> modification was optimized </w:t>
      </w:r>
      <w:r w:rsidR="00D45863" w:rsidRPr="00314E4C">
        <w:rPr>
          <w:rFonts w:ascii="Times New Roman" w:hAnsi="Times New Roman" w:cs="Times New Roman"/>
          <w:sz w:val="20"/>
          <w:szCs w:val="20"/>
        </w:rPr>
        <w:t xml:space="preserve">in terms of graphite load and Bi electrodeposition time. Its electrochemical characteristics were evaluated by chronoamperometry using p-nitrophenol as a model </w:t>
      </w:r>
      <w:r w:rsidR="002E7C5E" w:rsidRPr="00314E4C">
        <w:rPr>
          <w:rFonts w:ascii="Times New Roman" w:hAnsi="Times New Roman" w:cs="Times New Roman"/>
          <w:sz w:val="20"/>
          <w:szCs w:val="20"/>
        </w:rPr>
        <w:t xml:space="preserve">nitro aromatic </w:t>
      </w:r>
      <w:r w:rsidR="0032324F" w:rsidRPr="00314E4C">
        <w:rPr>
          <w:rFonts w:ascii="Times New Roman" w:hAnsi="Times New Roman" w:cs="Times New Roman"/>
          <w:sz w:val="20"/>
          <w:szCs w:val="20"/>
        </w:rPr>
        <w:t xml:space="preserve">compound. The graphite </w:t>
      </w:r>
      <w:r w:rsidR="00384A36" w:rsidRPr="00314E4C">
        <w:rPr>
          <w:rFonts w:ascii="Times New Roman" w:hAnsi="Times New Roman" w:cs="Times New Roman"/>
          <w:sz w:val="20"/>
          <w:szCs w:val="20"/>
        </w:rPr>
        <w:t>immobilized</w:t>
      </w:r>
      <w:r w:rsidR="0032324F" w:rsidRPr="00314E4C">
        <w:rPr>
          <w:rFonts w:ascii="Times New Roman" w:hAnsi="Times New Roman" w:cs="Times New Roman"/>
          <w:sz w:val="20"/>
          <w:szCs w:val="20"/>
        </w:rPr>
        <w:t xml:space="preserve"> Bi-film electrode was applied for </w:t>
      </w:r>
      <w:r w:rsidR="00384A36" w:rsidRPr="00314E4C">
        <w:rPr>
          <w:rFonts w:ascii="Times New Roman" w:hAnsi="Times New Roman" w:cs="Times New Roman"/>
          <w:sz w:val="20"/>
          <w:szCs w:val="20"/>
        </w:rPr>
        <w:t xml:space="preserve">the sensitive </w:t>
      </w:r>
      <w:r w:rsidR="0032324F" w:rsidRPr="00314E4C">
        <w:rPr>
          <w:rFonts w:ascii="Times New Roman" w:hAnsi="Times New Roman" w:cs="Times New Roman"/>
          <w:sz w:val="20"/>
          <w:szCs w:val="20"/>
        </w:rPr>
        <w:t>paraoxon determ</w:t>
      </w:r>
      <w:r w:rsidR="00384A36" w:rsidRPr="00314E4C">
        <w:rPr>
          <w:rFonts w:ascii="Times New Roman" w:hAnsi="Times New Roman" w:cs="Times New Roman"/>
          <w:sz w:val="20"/>
          <w:szCs w:val="20"/>
        </w:rPr>
        <w:t>ination by differential pulse voltammetry (DPV).</w:t>
      </w:r>
    </w:p>
    <w:p w14:paraId="1E5A2539" w14:textId="77777777" w:rsidR="00384A36" w:rsidRPr="00314E4C" w:rsidRDefault="00384A36" w:rsidP="00FB6E57">
      <w:pPr>
        <w:pStyle w:val="NoSpacing"/>
        <w:jc w:val="both"/>
        <w:rPr>
          <w:rFonts w:ascii="Times New Roman" w:hAnsi="Times New Roman" w:cs="Times New Roman"/>
        </w:rPr>
      </w:pPr>
    </w:p>
    <w:p w14:paraId="504809BC" w14:textId="77777777" w:rsidR="00541F4F" w:rsidRPr="00314E4C" w:rsidRDefault="00FB6E57" w:rsidP="00FB6E57">
      <w:pPr>
        <w:pStyle w:val="NoSpacing"/>
        <w:jc w:val="both"/>
        <w:rPr>
          <w:rFonts w:ascii="Times New Roman" w:hAnsi="Times New Roman" w:cs="Times New Roman"/>
          <w:b/>
        </w:rPr>
      </w:pPr>
      <w:r w:rsidRPr="00314E4C">
        <w:rPr>
          <w:rFonts w:ascii="Times New Roman" w:hAnsi="Times New Roman" w:cs="Times New Roman"/>
          <w:b/>
        </w:rPr>
        <w:t>Experimental</w:t>
      </w:r>
    </w:p>
    <w:p w14:paraId="504809BD" w14:textId="77777777" w:rsidR="00541F4F" w:rsidRPr="00314E4C" w:rsidRDefault="00541F4F" w:rsidP="00541F4F">
      <w:pPr>
        <w:pStyle w:val="NoSpacing"/>
        <w:jc w:val="both"/>
        <w:rPr>
          <w:rFonts w:ascii="Times New Roman" w:hAnsi="Times New Roman" w:cs="Times New Roman"/>
          <w:sz w:val="20"/>
          <w:szCs w:val="20"/>
        </w:rPr>
      </w:pPr>
    </w:p>
    <w:p w14:paraId="504809BF" w14:textId="0352C9F0" w:rsidR="00394568" w:rsidRPr="006C734F" w:rsidRDefault="00141BEA" w:rsidP="00394568">
      <w:pPr>
        <w:pStyle w:val="NoSpacing"/>
        <w:jc w:val="both"/>
        <w:rPr>
          <w:rFonts w:ascii="Times New Roman" w:hAnsi="Times New Roman" w:cs="Times New Roman"/>
          <w:b/>
          <w:sz w:val="20"/>
          <w:szCs w:val="20"/>
        </w:rPr>
      </w:pPr>
      <w:r w:rsidRPr="006C734F">
        <w:rPr>
          <w:rFonts w:ascii="Times New Roman" w:hAnsi="Times New Roman" w:cs="Times New Roman"/>
          <w:b/>
          <w:sz w:val="20"/>
          <w:szCs w:val="20"/>
        </w:rPr>
        <w:t>Reagents</w:t>
      </w:r>
      <w:r w:rsidR="00394568" w:rsidRPr="006C734F">
        <w:rPr>
          <w:rFonts w:ascii="Times New Roman" w:hAnsi="Times New Roman" w:cs="Times New Roman"/>
          <w:b/>
          <w:sz w:val="20"/>
          <w:szCs w:val="20"/>
        </w:rPr>
        <w:t xml:space="preserve"> and Instrumentation</w:t>
      </w:r>
    </w:p>
    <w:p w14:paraId="504809C0" w14:textId="3CD633F2" w:rsidR="00541F4F" w:rsidRPr="006C734F" w:rsidRDefault="00394568" w:rsidP="00541F4F">
      <w:pPr>
        <w:pStyle w:val="NoSpacing"/>
        <w:jc w:val="both"/>
        <w:rPr>
          <w:rFonts w:ascii="Times New Roman" w:hAnsi="Times New Roman" w:cs="Times New Roman"/>
          <w:sz w:val="20"/>
          <w:szCs w:val="20"/>
        </w:rPr>
      </w:pPr>
      <w:r w:rsidRPr="006C734F">
        <w:rPr>
          <w:rFonts w:ascii="Times New Roman" w:hAnsi="Times New Roman" w:cs="Times New Roman"/>
          <w:sz w:val="20"/>
          <w:szCs w:val="20"/>
        </w:rPr>
        <w:t xml:space="preserve">Paraoxon-ethyl analytical standard, </w:t>
      </w:r>
      <w:r w:rsidR="00F44F0F" w:rsidRPr="006C734F">
        <w:rPr>
          <w:rFonts w:ascii="Times New Roman" w:hAnsi="Times New Roman" w:cs="Times New Roman"/>
          <w:sz w:val="20"/>
          <w:szCs w:val="20"/>
        </w:rPr>
        <w:t>supplied</w:t>
      </w:r>
      <w:r w:rsidRPr="006C734F">
        <w:rPr>
          <w:rFonts w:ascii="Times New Roman" w:hAnsi="Times New Roman" w:cs="Times New Roman"/>
          <w:sz w:val="20"/>
          <w:szCs w:val="20"/>
        </w:rPr>
        <w:t xml:space="preserve"> by Sigma</w:t>
      </w:r>
      <w:r w:rsidR="00691A25" w:rsidRPr="006C734F">
        <w:rPr>
          <w:rFonts w:ascii="Times New Roman" w:hAnsi="Times New Roman" w:cs="Times New Roman"/>
          <w:sz w:val="20"/>
          <w:szCs w:val="20"/>
        </w:rPr>
        <w:t xml:space="preserve"> (www.sigmaaldrich.com)</w:t>
      </w:r>
      <w:r w:rsidR="00F44F0F" w:rsidRPr="006C734F">
        <w:rPr>
          <w:rFonts w:ascii="Times New Roman" w:hAnsi="Times New Roman" w:cs="Times New Roman"/>
          <w:sz w:val="20"/>
          <w:szCs w:val="20"/>
        </w:rPr>
        <w:t>,</w:t>
      </w:r>
      <w:r w:rsidRPr="006C734F">
        <w:rPr>
          <w:rFonts w:ascii="Times New Roman" w:hAnsi="Times New Roman" w:cs="Times New Roman"/>
          <w:sz w:val="20"/>
          <w:szCs w:val="20"/>
        </w:rPr>
        <w:t xml:space="preserve"> was used for the </w:t>
      </w:r>
      <w:r w:rsidR="00F44F0F" w:rsidRPr="006C734F">
        <w:rPr>
          <w:rFonts w:ascii="Times New Roman" w:hAnsi="Times New Roman" w:cs="Times New Roman"/>
          <w:sz w:val="20"/>
          <w:szCs w:val="20"/>
        </w:rPr>
        <w:t>preparation</w:t>
      </w:r>
      <w:r w:rsidRPr="006C734F">
        <w:rPr>
          <w:rFonts w:ascii="Times New Roman" w:hAnsi="Times New Roman" w:cs="Times New Roman"/>
          <w:sz w:val="20"/>
          <w:szCs w:val="20"/>
        </w:rPr>
        <w:t xml:space="preserve"> of a</w:t>
      </w:r>
      <w:r w:rsidR="000D53E5" w:rsidRPr="006C734F">
        <w:rPr>
          <w:rFonts w:ascii="Times New Roman" w:hAnsi="Times New Roman" w:cs="Times New Roman"/>
          <w:sz w:val="20"/>
          <w:szCs w:val="20"/>
        </w:rPr>
        <w:t xml:space="preserve">n aqueous </w:t>
      </w:r>
      <w:r w:rsidRPr="006C734F">
        <w:rPr>
          <w:rFonts w:ascii="Times New Roman" w:hAnsi="Times New Roman" w:cs="Times New Roman"/>
          <w:sz w:val="20"/>
          <w:szCs w:val="20"/>
        </w:rPr>
        <w:t xml:space="preserve">stock solution </w:t>
      </w:r>
      <w:r w:rsidR="00F44F0F" w:rsidRPr="006C734F">
        <w:rPr>
          <w:rFonts w:ascii="Times New Roman" w:hAnsi="Times New Roman" w:cs="Times New Roman"/>
          <w:sz w:val="20"/>
          <w:szCs w:val="20"/>
        </w:rPr>
        <w:t xml:space="preserve">with a concentration of </w:t>
      </w:r>
      <w:r w:rsidRPr="006C734F">
        <w:rPr>
          <w:rFonts w:ascii="Times New Roman" w:hAnsi="Times New Roman" w:cs="Times New Roman"/>
          <w:sz w:val="20"/>
          <w:szCs w:val="20"/>
        </w:rPr>
        <w:t>10 mmol L</w:t>
      </w:r>
      <w:r w:rsidRPr="006C734F">
        <w:rPr>
          <w:rFonts w:ascii="Times New Roman" w:hAnsi="Times New Roman" w:cs="Times New Roman"/>
          <w:sz w:val="20"/>
          <w:szCs w:val="20"/>
          <w:vertAlign w:val="superscript"/>
        </w:rPr>
        <w:t>-1</w:t>
      </w:r>
      <w:r w:rsidR="00F44F0F" w:rsidRPr="006C734F">
        <w:rPr>
          <w:rFonts w:ascii="Times New Roman" w:hAnsi="Times New Roman" w:cs="Times New Roman"/>
          <w:sz w:val="20"/>
          <w:szCs w:val="20"/>
        </w:rPr>
        <w:t xml:space="preserve">. </w:t>
      </w:r>
      <w:proofErr w:type="spellStart"/>
      <w:r w:rsidR="003F79FC" w:rsidRPr="006C734F">
        <w:rPr>
          <w:rFonts w:ascii="Times New Roman" w:hAnsi="Times New Roman" w:cs="Times New Roman"/>
          <w:sz w:val="20"/>
          <w:szCs w:val="20"/>
        </w:rPr>
        <w:t>Laporte</w:t>
      </w:r>
      <w:proofErr w:type="spellEnd"/>
      <w:r w:rsidR="003F79FC" w:rsidRPr="006C734F">
        <w:rPr>
          <w:rFonts w:ascii="Times New Roman" w:hAnsi="Times New Roman" w:cs="Times New Roman"/>
          <w:sz w:val="20"/>
          <w:szCs w:val="20"/>
        </w:rPr>
        <w:t xml:space="preserve"> Industry Ltd.</w:t>
      </w:r>
      <w:r w:rsidR="004A1CF3" w:rsidRPr="006C734F">
        <w:rPr>
          <w:rFonts w:ascii="Times New Roman" w:hAnsi="Times New Roman" w:cs="Times New Roman"/>
          <w:sz w:val="20"/>
          <w:szCs w:val="20"/>
        </w:rPr>
        <w:t xml:space="preserve"> (https://beta.companieshouse.gov.uk/company/00031089)</w:t>
      </w:r>
      <w:r w:rsidR="003F79FC" w:rsidRPr="006C734F">
        <w:rPr>
          <w:rFonts w:ascii="Times New Roman" w:hAnsi="Times New Roman" w:cs="Times New Roman"/>
          <w:sz w:val="20"/>
          <w:szCs w:val="20"/>
        </w:rPr>
        <w:t xml:space="preserve"> provided l</w:t>
      </w:r>
      <w:r w:rsidR="009432A7" w:rsidRPr="006C734F">
        <w:rPr>
          <w:rFonts w:ascii="Times New Roman" w:hAnsi="Times New Roman" w:cs="Times New Roman"/>
          <w:sz w:val="20"/>
          <w:szCs w:val="20"/>
        </w:rPr>
        <w:t>aponite (monovalent exchange capacity 0.74 mmol g</w:t>
      </w:r>
      <w:r w:rsidR="009432A7" w:rsidRPr="006C734F">
        <w:rPr>
          <w:rFonts w:ascii="Times New Roman" w:hAnsi="Times New Roman" w:cs="Times New Roman"/>
          <w:sz w:val="20"/>
          <w:szCs w:val="20"/>
          <w:vertAlign w:val="superscript"/>
        </w:rPr>
        <w:t>-1</w:t>
      </w:r>
      <w:r w:rsidR="003F79FC" w:rsidRPr="006C734F">
        <w:rPr>
          <w:rFonts w:ascii="Times New Roman" w:hAnsi="Times New Roman" w:cs="Times New Roman"/>
          <w:sz w:val="20"/>
          <w:szCs w:val="20"/>
        </w:rPr>
        <w:t xml:space="preserve">). </w:t>
      </w:r>
      <w:r w:rsidR="00622E4B" w:rsidRPr="006C734F">
        <w:rPr>
          <w:rFonts w:ascii="Times New Roman" w:hAnsi="Times New Roman" w:cs="Times New Roman"/>
          <w:sz w:val="20"/>
          <w:szCs w:val="20"/>
        </w:rPr>
        <w:t>Laponite colloidal suspension (1 mg mL</w:t>
      </w:r>
      <w:r w:rsidR="00622E4B" w:rsidRPr="006C734F">
        <w:rPr>
          <w:rFonts w:ascii="Times New Roman" w:hAnsi="Times New Roman" w:cs="Times New Roman"/>
          <w:sz w:val="20"/>
          <w:szCs w:val="20"/>
          <w:vertAlign w:val="superscript"/>
        </w:rPr>
        <w:t>-1</w:t>
      </w:r>
      <w:r w:rsidR="00622E4B" w:rsidRPr="006C734F">
        <w:rPr>
          <w:rFonts w:ascii="Times New Roman" w:hAnsi="Times New Roman" w:cs="Times New Roman"/>
          <w:sz w:val="20"/>
          <w:szCs w:val="20"/>
        </w:rPr>
        <w:t xml:space="preserve">) was prepared by ultrasonic dispersion of </w:t>
      </w:r>
      <w:r w:rsidR="00C300F0" w:rsidRPr="006C734F">
        <w:rPr>
          <w:rFonts w:ascii="Times New Roman" w:hAnsi="Times New Roman" w:cs="Times New Roman"/>
          <w:sz w:val="20"/>
          <w:szCs w:val="20"/>
        </w:rPr>
        <w:t xml:space="preserve">the </w:t>
      </w:r>
      <w:r w:rsidR="00622E4B" w:rsidRPr="006C734F">
        <w:rPr>
          <w:rFonts w:ascii="Times New Roman" w:hAnsi="Times New Roman" w:cs="Times New Roman"/>
          <w:sz w:val="20"/>
          <w:szCs w:val="20"/>
        </w:rPr>
        <w:t>laponite</w:t>
      </w:r>
      <w:r w:rsidR="00C300F0" w:rsidRPr="006C734F">
        <w:rPr>
          <w:rFonts w:ascii="Times New Roman" w:hAnsi="Times New Roman" w:cs="Times New Roman"/>
          <w:sz w:val="20"/>
          <w:szCs w:val="20"/>
        </w:rPr>
        <w:t xml:space="preserve"> powder</w:t>
      </w:r>
      <w:r w:rsidR="00622E4B" w:rsidRPr="006C734F">
        <w:rPr>
          <w:rFonts w:ascii="Times New Roman" w:hAnsi="Times New Roman" w:cs="Times New Roman"/>
          <w:sz w:val="20"/>
          <w:szCs w:val="20"/>
        </w:rPr>
        <w:t xml:space="preserve"> in deionized water. </w:t>
      </w:r>
      <w:r w:rsidR="009432A7" w:rsidRPr="006C734F">
        <w:rPr>
          <w:rFonts w:ascii="Times New Roman" w:hAnsi="Times New Roman" w:cs="Times New Roman"/>
          <w:sz w:val="20"/>
          <w:szCs w:val="20"/>
        </w:rPr>
        <w:t xml:space="preserve">Graphite nanopowder (99.9% C) </w:t>
      </w:r>
      <w:r w:rsidR="000D53E5" w:rsidRPr="006C734F">
        <w:rPr>
          <w:rFonts w:ascii="Times New Roman" w:hAnsi="Times New Roman" w:cs="Times New Roman"/>
          <w:sz w:val="20"/>
          <w:szCs w:val="20"/>
        </w:rPr>
        <w:t>with an average particle size &lt;50 nm and a specific surface area in the 30-50 m</w:t>
      </w:r>
      <w:r w:rsidR="000D53E5" w:rsidRPr="006C734F">
        <w:rPr>
          <w:rFonts w:ascii="Times New Roman" w:hAnsi="Times New Roman" w:cs="Times New Roman"/>
          <w:sz w:val="20"/>
          <w:szCs w:val="20"/>
          <w:vertAlign w:val="superscript"/>
        </w:rPr>
        <w:t>2</w:t>
      </w:r>
      <w:r w:rsidR="000D53E5" w:rsidRPr="006C734F">
        <w:rPr>
          <w:rFonts w:ascii="Times New Roman" w:hAnsi="Times New Roman" w:cs="Times New Roman"/>
          <w:sz w:val="20"/>
          <w:szCs w:val="20"/>
        </w:rPr>
        <w:t xml:space="preserve"> </w:t>
      </w:r>
      <w:r w:rsidR="009432A7" w:rsidRPr="006C734F">
        <w:rPr>
          <w:rFonts w:ascii="Times New Roman" w:hAnsi="Times New Roman" w:cs="Times New Roman"/>
          <w:sz w:val="20"/>
          <w:szCs w:val="20"/>
        </w:rPr>
        <w:t>g</w:t>
      </w:r>
      <w:r w:rsidR="000D53E5" w:rsidRPr="006C734F">
        <w:rPr>
          <w:rFonts w:ascii="Times New Roman" w:hAnsi="Times New Roman" w:cs="Times New Roman"/>
          <w:sz w:val="20"/>
          <w:szCs w:val="20"/>
          <w:vertAlign w:val="superscript"/>
        </w:rPr>
        <w:t>-1</w:t>
      </w:r>
      <w:r w:rsidR="009432A7" w:rsidRPr="006C734F">
        <w:rPr>
          <w:rFonts w:ascii="Times New Roman" w:hAnsi="Times New Roman" w:cs="Times New Roman"/>
          <w:sz w:val="20"/>
          <w:szCs w:val="20"/>
        </w:rPr>
        <w:t xml:space="preserve"> range was purchased from </w:t>
      </w:r>
      <w:r w:rsidR="000D53E5" w:rsidRPr="006C734F">
        <w:rPr>
          <w:rFonts w:ascii="Times New Roman" w:hAnsi="Times New Roman" w:cs="Times New Roman"/>
          <w:sz w:val="20"/>
          <w:szCs w:val="20"/>
        </w:rPr>
        <w:t>American Elements, USA</w:t>
      </w:r>
      <w:r w:rsidR="009D7A76" w:rsidRPr="006C734F">
        <w:rPr>
          <w:rFonts w:ascii="Times New Roman" w:hAnsi="Times New Roman" w:cs="Times New Roman"/>
          <w:sz w:val="20"/>
          <w:szCs w:val="20"/>
        </w:rPr>
        <w:t xml:space="preserve"> (www.americanelements.com)</w:t>
      </w:r>
      <w:r w:rsidR="000D53E5" w:rsidRPr="006C734F">
        <w:rPr>
          <w:rFonts w:ascii="Times New Roman" w:hAnsi="Times New Roman" w:cs="Times New Roman"/>
          <w:sz w:val="20"/>
          <w:szCs w:val="20"/>
        </w:rPr>
        <w:t xml:space="preserve">. </w:t>
      </w:r>
      <w:r w:rsidR="008F1928" w:rsidRPr="006C734F">
        <w:rPr>
          <w:rFonts w:ascii="Times New Roman" w:hAnsi="Times New Roman" w:cs="Times New Roman"/>
          <w:sz w:val="20"/>
          <w:szCs w:val="20"/>
        </w:rPr>
        <w:t xml:space="preserve">Homogeneous </w:t>
      </w:r>
      <w:r w:rsidR="002434BC" w:rsidRPr="006C734F">
        <w:rPr>
          <w:rFonts w:ascii="Times New Roman" w:hAnsi="Times New Roman" w:cs="Times New Roman"/>
          <w:sz w:val="20"/>
          <w:szCs w:val="20"/>
        </w:rPr>
        <w:t>laponite-</w:t>
      </w:r>
      <w:r w:rsidR="0039706C" w:rsidRPr="006C734F">
        <w:rPr>
          <w:rFonts w:ascii="Times New Roman" w:hAnsi="Times New Roman" w:cs="Times New Roman"/>
          <w:sz w:val="20"/>
          <w:szCs w:val="20"/>
        </w:rPr>
        <w:t>graphite (LG</w:t>
      </w:r>
      <w:r w:rsidR="00FD58BD" w:rsidRPr="006C734F">
        <w:rPr>
          <w:rFonts w:ascii="Times New Roman" w:hAnsi="Times New Roman" w:cs="Times New Roman"/>
          <w:sz w:val="20"/>
          <w:szCs w:val="20"/>
        </w:rPr>
        <w:t>r</w:t>
      </w:r>
      <w:r w:rsidR="0039706C" w:rsidRPr="006C734F">
        <w:rPr>
          <w:rFonts w:ascii="Times New Roman" w:hAnsi="Times New Roman" w:cs="Times New Roman"/>
          <w:sz w:val="20"/>
          <w:szCs w:val="20"/>
        </w:rPr>
        <w:t xml:space="preserve">) </w:t>
      </w:r>
      <w:r w:rsidR="00653A9D" w:rsidRPr="006C734F">
        <w:rPr>
          <w:rFonts w:ascii="Times New Roman" w:hAnsi="Times New Roman" w:cs="Times New Roman"/>
          <w:sz w:val="20"/>
          <w:szCs w:val="20"/>
        </w:rPr>
        <w:t>mixtures</w:t>
      </w:r>
      <w:r w:rsidR="005842F3" w:rsidRPr="006C734F">
        <w:rPr>
          <w:rFonts w:ascii="Times New Roman" w:hAnsi="Times New Roman" w:cs="Times New Roman"/>
          <w:sz w:val="20"/>
          <w:szCs w:val="20"/>
        </w:rPr>
        <w:t xml:space="preserve"> were</w:t>
      </w:r>
      <w:r w:rsidR="0039706C" w:rsidRPr="006C734F">
        <w:rPr>
          <w:rFonts w:ascii="Times New Roman" w:hAnsi="Times New Roman" w:cs="Times New Roman"/>
          <w:sz w:val="20"/>
          <w:szCs w:val="20"/>
        </w:rPr>
        <w:t xml:space="preserve"> obtained by </w:t>
      </w:r>
      <w:r w:rsidR="00E42F85" w:rsidRPr="006C734F">
        <w:rPr>
          <w:rFonts w:ascii="Times New Roman" w:hAnsi="Times New Roman" w:cs="Times New Roman"/>
          <w:sz w:val="20"/>
          <w:szCs w:val="20"/>
        </w:rPr>
        <w:t>addition of</w:t>
      </w:r>
      <w:r w:rsidR="005842F3" w:rsidRPr="006C734F">
        <w:rPr>
          <w:rFonts w:ascii="Times New Roman" w:hAnsi="Times New Roman" w:cs="Times New Roman"/>
          <w:sz w:val="20"/>
          <w:szCs w:val="20"/>
        </w:rPr>
        <w:t xml:space="preserve"> approp</w:t>
      </w:r>
      <w:r w:rsidR="00622E4B" w:rsidRPr="006C734F">
        <w:rPr>
          <w:rFonts w:ascii="Times New Roman" w:hAnsi="Times New Roman" w:cs="Times New Roman"/>
          <w:sz w:val="20"/>
          <w:szCs w:val="20"/>
        </w:rPr>
        <w:t>riate amounts of graphite nanopo</w:t>
      </w:r>
      <w:r w:rsidR="005842F3" w:rsidRPr="006C734F">
        <w:rPr>
          <w:rFonts w:ascii="Times New Roman" w:hAnsi="Times New Roman" w:cs="Times New Roman"/>
          <w:sz w:val="20"/>
          <w:szCs w:val="20"/>
        </w:rPr>
        <w:t>wder to the laponi</w:t>
      </w:r>
      <w:r w:rsidR="00587950" w:rsidRPr="006C734F">
        <w:rPr>
          <w:rFonts w:ascii="Times New Roman" w:hAnsi="Times New Roman" w:cs="Times New Roman"/>
          <w:sz w:val="20"/>
          <w:szCs w:val="20"/>
        </w:rPr>
        <w:t>te suspension</w:t>
      </w:r>
      <w:r w:rsidR="005842F3" w:rsidRPr="006C734F">
        <w:rPr>
          <w:rFonts w:ascii="Times New Roman" w:hAnsi="Times New Roman" w:cs="Times New Roman"/>
          <w:sz w:val="20"/>
          <w:szCs w:val="20"/>
        </w:rPr>
        <w:t xml:space="preserve"> </w:t>
      </w:r>
      <w:r w:rsidR="00587950" w:rsidRPr="006C734F">
        <w:rPr>
          <w:rFonts w:ascii="Times New Roman" w:hAnsi="Times New Roman" w:cs="Times New Roman"/>
          <w:sz w:val="20"/>
          <w:szCs w:val="20"/>
        </w:rPr>
        <w:t>and</w:t>
      </w:r>
      <w:r w:rsidR="005842F3" w:rsidRPr="006C734F">
        <w:rPr>
          <w:rFonts w:ascii="Times New Roman" w:hAnsi="Times New Roman" w:cs="Times New Roman"/>
          <w:sz w:val="20"/>
          <w:szCs w:val="20"/>
        </w:rPr>
        <w:t xml:space="preserve"> ultrasonic agitation for 10 min with an UP-800 ultrasonic processor (E-Chrom Tech Co., Ltd., Taiwan</w:t>
      </w:r>
      <w:r w:rsidR="00E63564" w:rsidRPr="006C734F">
        <w:rPr>
          <w:rFonts w:ascii="Times New Roman" w:hAnsi="Times New Roman" w:cs="Times New Roman"/>
          <w:sz w:val="20"/>
          <w:szCs w:val="20"/>
        </w:rPr>
        <w:t>, www.taiwantrade.com/company/e-chrom-tech-co-ltd-64863.html</w:t>
      </w:r>
      <w:r w:rsidR="005842F3" w:rsidRPr="006C734F">
        <w:rPr>
          <w:rFonts w:ascii="Times New Roman" w:hAnsi="Times New Roman" w:cs="Times New Roman"/>
          <w:sz w:val="20"/>
          <w:szCs w:val="20"/>
        </w:rPr>
        <w:t xml:space="preserve">). </w:t>
      </w:r>
      <w:r w:rsidR="00963F2D" w:rsidRPr="006C734F">
        <w:rPr>
          <w:rFonts w:ascii="Times New Roman" w:hAnsi="Times New Roman" w:cs="Times New Roman"/>
          <w:sz w:val="20"/>
          <w:szCs w:val="20"/>
        </w:rPr>
        <w:t>Bi</w:t>
      </w:r>
      <w:r w:rsidR="00963F2D" w:rsidRPr="006C734F">
        <w:rPr>
          <w:rFonts w:ascii="Times New Roman" w:hAnsi="Times New Roman" w:cs="Times New Roman"/>
          <w:sz w:val="20"/>
          <w:szCs w:val="20"/>
          <w:vertAlign w:val="superscript"/>
        </w:rPr>
        <w:t>3+</w:t>
      </w:r>
      <w:r w:rsidR="00963F2D" w:rsidRPr="006C734F">
        <w:rPr>
          <w:rFonts w:ascii="Times New Roman" w:hAnsi="Times New Roman" w:cs="Times New Roman"/>
          <w:sz w:val="20"/>
          <w:szCs w:val="20"/>
        </w:rPr>
        <w:t xml:space="preserve"> stock solution (1000 mg L</w:t>
      </w:r>
      <w:r w:rsidR="00963F2D" w:rsidRPr="006C734F">
        <w:rPr>
          <w:rFonts w:ascii="Times New Roman" w:hAnsi="Times New Roman" w:cs="Times New Roman"/>
          <w:sz w:val="20"/>
          <w:szCs w:val="20"/>
          <w:vertAlign w:val="superscript"/>
        </w:rPr>
        <w:t>-1</w:t>
      </w:r>
      <w:r w:rsidR="00963F2D" w:rsidRPr="006C734F">
        <w:rPr>
          <w:rFonts w:ascii="Times New Roman" w:hAnsi="Times New Roman" w:cs="Times New Roman"/>
          <w:sz w:val="20"/>
          <w:szCs w:val="20"/>
        </w:rPr>
        <w:t>) was obtained by dissolving Bi(NO</w:t>
      </w:r>
      <w:r w:rsidR="00963F2D" w:rsidRPr="006C734F">
        <w:rPr>
          <w:rFonts w:ascii="Times New Roman" w:hAnsi="Times New Roman" w:cs="Times New Roman"/>
          <w:sz w:val="20"/>
          <w:szCs w:val="20"/>
          <w:vertAlign w:val="subscript"/>
        </w:rPr>
        <w:t>3</w:t>
      </w:r>
      <w:r w:rsidR="00963F2D" w:rsidRPr="006C734F">
        <w:rPr>
          <w:rFonts w:ascii="Times New Roman" w:hAnsi="Times New Roman" w:cs="Times New Roman"/>
          <w:sz w:val="20"/>
          <w:szCs w:val="20"/>
        </w:rPr>
        <w:t>)</w:t>
      </w:r>
      <w:r w:rsidR="00963F2D" w:rsidRPr="006C734F">
        <w:rPr>
          <w:rFonts w:ascii="Times New Roman" w:hAnsi="Times New Roman" w:cs="Times New Roman"/>
          <w:sz w:val="20"/>
          <w:szCs w:val="20"/>
          <w:vertAlign w:val="subscript"/>
        </w:rPr>
        <w:t>3</w:t>
      </w:r>
      <w:r w:rsidR="00963F2D" w:rsidRPr="006C734F">
        <w:rPr>
          <w:rFonts w:ascii="Times New Roman" w:hAnsi="Times New Roman" w:cs="Times New Roman"/>
          <w:sz w:val="20"/>
          <w:szCs w:val="20"/>
        </w:rPr>
        <w:t xml:space="preserve"> in 5% HNO</w:t>
      </w:r>
      <w:r w:rsidR="00963F2D" w:rsidRPr="006C734F">
        <w:rPr>
          <w:rFonts w:ascii="Times New Roman" w:hAnsi="Times New Roman" w:cs="Times New Roman"/>
          <w:sz w:val="20"/>
          <w:szCs w:val="20"/>
          <w:vertAlign w:val="subscript"/>
        </w:rPr>
        <w:t>3</w:t>
      </w:r>
      <w:r w:rsidR="007F281C" w:rsidRPr="006C734F">
        <w:rPr>
          <w:rFonts w:ascii="Times New Roman" w:hAnsi="Times New Roman" w:cs="Times New Roman"/>
          <w:sz w:val="20"/>
          <w:szCs w:val="20"/>
        </w:rPr>
        <w:t xml:space="preserve">. All the experiments were carried out in </w:t>
      </w:r>
      <w:r w:rsidR="002A1889" w:rsidRPr="006C734F">
        <w:rPr>
          <w:rFonts w:ascii="Times New Roman" w:hAnsi="Times New Roman" w:cs="Times New Roman"/>
          <w:sz w:val="20"/>
          <w:szCs w:val="20"/>
        </w:rPr>
        <w:t xml:space="preserve">a </w:t>
      </w:r>
      <w:r w:rsidR="007F281C" w:rsidRPr="006C734F">
        <w:rPr>
          <w:rFonts w:ascii="Times New Roman" w:hAnsi="Times New Roman" w:cs="Times New Roman"/>
          <w:sz w:val="20"/>
          <w:szCs w:val="20"/>
        </w:rPr>
        <w:t xml:space="preserve">Britton-Robinson buffer, </w:t>
      </w:r>
      <w:r w:rsidR="002A1889" w:rsidRPr="006C734F">
        <w:rPr>
          <w:rFonts w:ascii="Times New Roman" w:hAnsi="Times New Roman" w:cs="Times New Roman"/>
          <w:sz w:val="20"/>
          <w:szCs w:val="20"/>
        </w:rPr>
        <w:t xml:space="preserve">which consists of a mixture of </w:t>
      </w:r>
      <w:r w:rsidR="00F1744C" w:rsidRPr="006C734F">
        <w:rPr>
          <w:rFonts w:ascii="Times New Roman" w:hAnsi="Times New Roman" w:cs="Times New Roman"/>
          <w:sz w:val="20"/>
          <w:szCs w:val="20"/>
        </w:rPr>
        <w:t>H</w:t>
      </w:r>
      <w:r w:rsidR="00F1744C" w:rsidRPr="006C734F">
        <w:rPr>
          <w:rFonts w:ascii="Times New Roman" w:hAnsi="Times New Roman" w:cs="Times New Roman"/>
          <w:sz w:val="20"/>
          <w:szCs w:val="20"/>
          <w:vertAlign w:val="subscript"/>
        </w:rPr>
        <w:t>3</w:t>
      </w:r>
      <w:r w:rsidR="00F1744C" w:rsidRPr="006C734F">
        <w:rPr>
          <w:rFonts w:ascii="Times New Roman" w:hAnsi="Times New Roman" w:cs="Times New Roman"/>
          <w:sz w:val="20"/>
          <w:szCs w:val="20"/>
        </w:rPr>
        <w:t>BO</w:t>
      </w:r>
      <w:r w:rsidR="00F1744C" w:rsidRPr="006C734F">
        <w:rPr>
          <w:rFonts w:ascii="Times New Roman" w:hAnsi="Times New Roman" w:cs="Times New Roman"/>
          <w:sz w:val="20"/>
          <w:szCs w:val="20"/>
          <w:vertAlign w:val="subscript"/>
        </w:rPr>
        <w:t>3</w:t>
      </w:r>
      <w:r w:rsidR="002A1889" w:rsidRPr="006C734F">
        <w:rPr>
          <w:rFonts w:ascii="Times New Roman" w:hAnsi="Times New Roman" w:cs="Times New Roman"/>
          <w:sz w:val="20"/>
          <w:szCs w:val="20"/>
        </w:rPr>
        <w:t xml:space="preserve"> 0.04 mol L</w:t>
      </w:r>
      <w:r w:rsidR="002A1889" w:rsidRPr="006C734F">
        <w:rPr>
          <w:rFonts w:ascii="Times New Roman" w:hAnsi="Times New Roman" w:cs="Times New Roman"/>
          <w:sz w:val="20"/>
          <w:szCs w:val="20"/>
          <w:vertAlign w:val="superscript"/>
        </w:rPr>
        <w:t>-1</w:t>
      </w:r>
      <w:r w:rsidR="002A1889" w:rsidRPr="006C734F">
        <w:rPr>
          <w:rFonts w:ascii="Times New Roman" w:hAnsi="Times New Roman" w:cs="Times New Roman"/>
          <w:sz w:val="20"/>
          <w:szCs w:val="20"/>
        </w:rPr>
        <w:t xml:space="preserve">, </w:t>
      </w:r>
      <w:r w:rsidR="00F1744C" w:rsidRPr="006C734F">
        <w:rPr>
          <w:rFonts w:ascii="Times New Roman" w:hAnsi="Times New Roman" w:cs="Times New Roman"/>
          <w:sz w:val="20"/>
          <w:szCs w:val="20"/>
        </w:rPr>
        <w:t>H</w:t>
      </w:r>
      <w:r w:rsidR="00F1744C" w:rsidRPr="006C734F">
        <w:rPr>
          <w:rFonts w:ascii="Times New Roman" w:hAnsi="Times New Roman" w:cs="Times New Roman"/>
          <w:sz w:val="20"/>
          <w:szCs w:val="20"/>
          <w:vertAlign w:val="subscript"/>
        </w:rPr>
        <w:t>3</w:t>
      </w:r>
      <w:r w:rsidR="00F1744C" w:rsidRPr="006C734F">
        <w:rPr>
          <w:rFonts w:ascii="Times New Roman" w:hAnsi="Times New Roman" w:cs="Times New Roman"/>
          <w:sz w:val="20"/>
          <w:szCs w:val="20"/>
        </w:rPr>
        <w:t>PO</w:t>
      </w:r>
      <w:r w:rsidR="00F1744C" w:rsidRPr="006C734F">
        <w:rPr>
          <w:rFonts w:ascii="Times New Roman" w:hAnsi="Times New Roman" w:cs="Times New Roman"/>
          <w:sz w:val="20"/>
          <w:szCs w:val="20"/>
          <w:vertAlign w:val="subscript"/>
        </w:rPr>
        <w:t>4</w:t>
      </w:r>
      <w:r w:rsidR="00F1744C" w:rsidRPr="006C734F">
        <w:rPr>
          <w:rFonts w:ascii="Times New Roman" w:hAnsi="Times New Roman" w:cs="Times New Roman"/>
          <w:sz w:val="20"/>
          <w:szCs w:val="20"/>
        </w:rPr>
        <w:t xml:space="preserve"> </w:t>
      </w:r>
      <w:r w:rsidR="002A1889" w:rsidRPr="006C734F">
        <w:rPr>
          <w:rFonts w:ascii="Times New Roman" w:hAnsi="Times New Roman" w:cs="Times New Roman"/>
          <w:sz w:val="20"/>
          <w:szCs w:val="20"/>
        </w:rPr>
        <w:t>0.04 mol L</w:t>
      </w:r>
      <w:r w:rsidR="002A1889" w:rsidRPr="006C734F">
        <w:rPr>
          <w:rFonts w:ascii="Times New Roman" w:hAnsi="Times New Roman" w:cs="Times New Roman"/>
          <w:sz w:val="20"/>
          <w:szCs w:val="20"/>
          <w:vertAlign w:val="superscript"/>
        </w:rPr>
        <w:t>-1</w:t>
      </w:r>
      <w:r w:rsidR="002A1889" w:rsidRPr="006C734F">
        <w:rPr>
          <w:rFonts w:ascii="Times New Roman" w:hAnsi="Times New Roman" w:cs="Times New Roman"/>
          <w:sz w:val="20"/>
          <w:szCs w:val="20"/>
        </w:rPr>
        <w:t xml:space="preserve">, </w:t>
      </w:r>
      <w:r w:rsidR="00F1744C" w:rsidRPr="006C734F">
        <w:rPr>
          <w:rFonts w:ascii="Times New Roman" w:hAnsi="Times New Roman" w:cs="Times New Roman"/>
          <w:sz w:val="20"/>
          <w:szCs w:val="20"/>
        </w:rPr>
        <w:t>and CH</w:t>
      </w:r>
      <w:r w:rsidR="00F1744C" w:rsidRPr="006C734F">
        <w:rPr>
          <w:rFonts w:ascii="Times New Roman" w:hAnsi="Times New Roman" w:cs="Times New Roman"/>
          <w:sz w:val="20"/>
          <w:szCs w:val="20"/>
          <w:vertAlign w:val="subscript"/>
        </w:rPr>
        <w:t>3</w:t>
      </w:r>
      <w:r w:rsidR="00F1744C" w:rsidRPr="006C734F">
        <w:rPr>
          <w:rFonts w:ascii="Times New Roman" w:hAnsi="Times New Roman" w:cs="Times New Roman"/>
          <w:sz w:val="20"/>
          <w:szCs w:val="20"/>
        </w:rPr>
        <w:t>COOH</w:t>
      </w:r>
      <w:r w:rsidR="002A1889" w:rsidRPr="006C734F">
        <w:rPr>
          <w:rFonts w:ascii="Times New Roman" w:hAnsi="Times New Roman" w:cs="Times New Roman"/>
          <w:sz w:val="20"/>
          <w:szCs w:val="20"/>
        </w:rPr>
        <w:t xml:space="preserve"> 0.04 mol L</w:t>
      </w:r>
      <w:r w:rsidR="002A1889" w:rsidRPr="006C734F">
        <w:rPr>
          <w:rFonts w:ascii="Times New Roman" w:hAnsi="Times New Roman" w:cs="Times New Roman"/>
          <w:sz w:val="20"/>
          <w:szCs w:val="20"/>
          <w:vertAlign w:val="superscript"/>
        </w:rPr>
        <w:t>-1</w:t>
      </w:r>
      <w:r w:rsidR="002A1889" w:rsidRPr="006C734F">
        <w:rPr>
          <w:rFonts w:ascii="Times New Roman" w:hAnsi="Times New Roman" w:cs="Times New Roman"/>
          <w:sz w:val="20"/>
          <w:szCs w:val="20"/>
        </w:rPr>
        <w:t xml:space="preserve"> </w:t>
      </w:r>
      <w:r w:rsidR="00F1744C" w:rsidRPr="006C734F">
        <w:rPr>
          <w:rFonts w:ascii="Times New Roman" w:hAnsi="Times New Roman" w:cs="Times New Roman"/>
          <w:sz w:val="20"/>
          <w:szCs w:val="20"/>
        </w:rPr>
        <w:t>titrated to the desired pH with NaOH</w:t>
      </w:r>
      <w:r w:rsidR="002A1889" w:rsidRPr="006C734F">
        <w:rPr>
          <w:rFonts w:ascii="Times New Roman" w:hAnsi="Times New Roman" w:cs="Times New Roman"/>
          <w:sz w:val="20"/>
          <w:szCs w:val="20"/>
        </w:rPr>
        <w:t xml:space="preserve"> 0.2 mol L</w:t>
      </w:r>
      <w:r w:rsidR="002A1889" w:rsidRPr="006C734F">
        <w:rPr>
          <w:rFonts w:ascii="Times New Roman" w:hAnsi="Times New Roman" w:cs="Times New Roman"/>
          <w:sz w:val="20"/>
          <w:szCs w:val="20"/>
          <w:vertAlign w:val="superscript"/>
        </w:rPr>
        <w:t>-1</w:t>
      </w:r>
      <w:r w:rsidR="003F79FC" w:rsidRPr="006C734F">
        <w:rPr>
          <w:rFonts w:ascii="Times New Roman" w:hAnsi="Times New Roman" w:cs="Times New Roman"/>
          <w:sz w:val="20"/>
          <w:szCs w:val="20"/>
        </w:rPr>
        <w:t>.</w:t>
      </w:r>
    </w:p>
    <w:p w14:paraId="504809C1" w14:textId="49A29276" w:rsidR="00781521" w:rsidRPr="006C734F" w:rsidRDefault="00EA2B83" w:rsidP="00EA38B7">
      <w:pPr>
        <w:pStyle w:val="NoSpacing"/>
        <w:ind w:firstLine="360"/>
        <w:jc w:val="both"/>
        <w:rPr>
          <w:rFonts w:ascii="Times New Roman" w:hAnsi="Times New Roman" w:cs="Times New Roman"/>
          <w:sz w:val="20"/>
          <w:szCs w:val="20"/>
        </w:rPr>
      </w:pPr>
      <w:r w:rsidRPr="006C734F">
        <w:rPr>
          <w:rFonts w:ascii="Times New Roman" w:hAnsi="Times New Roman" w:cs="Times New Roman"/>
          <w:sz w:val="20"/>
          <w:szCs w:val="20"/>
        </w:rPr>
        <w:t xml:space="preserve">The electrochemical measurements were performed </w:t>
      </w:r>
      <w:r w:rsidR="008F1928" w:rsidRPr="006C734F">
        <w:rPr>
          <w:rFonts w:ascii="Times New Roman" w:hAnsi="Times New Roman" w:cs="Times New Roman"/>
          <w:sz w:val="20"/>
          <w:szCs w:val="20"/>
        </w:rPr>
        <w:t xml:space="preserve">by </w:t>
      </w:r>
      <w:r w:rsidR="00781521" w:rsidRPr="006C734F">
        <w:rPr>
          <w:rFonts w:ascii="Times New Roman" w:hAnsi="Times New Roman" w:cs="Times New Roman"/>
          <w:sz w:val="20"/>
          <w:szCs w:val="20"/>
        </w:rPr>
        <w:t xml:space="preserve">using a CH Instruments model 440A electrochemical </w:t>
      </w:r>
      <w:r w:rsidR="00314E4C" w:rsidRPr="006C734F">
        <w:rPr>
          <w:rFonts w:ascii="Times New Roman" w:hAnsi="Times New Roman" w:cs="Times New Roman"/>
          <w:sz w:val="20"/>
          <w:szCs w:val="20"/>
        </w:rPr>
        <w:t>analyzer</w:t>
      </w:r>
      <w:r w:rsidR="00781521" w:rsidRPr="006C734F">
        <w:rPr>
          <w:rFonts w:ascii="Times New Roman" w:hAnsi="Times New Roman" w:cs="Times New Roman"/>
          <w:sz w:val="20"/>
          <w:szCs w:val="20"/>
        </w:rPr>
        <w:t xml:space="preserve"> (CH Instruments Inc., USA</w:t>
      </w:r>
      <w:r w:rsidR="00AD6671" w:rsidRPr="006C734F">
        <w:rPr>
          <w:rFonts w:ascii="Times New Roman" w:hAnsi="Times New Roman" w:cs="Times New Roman"/>
          <w:sz w:val="20"/>
          <w:szCs w:val="20"/>
        </w:rPr>
        <w:t>, www.chinstruments.com</w:t>
      </w:r>
      <w:r w:rsidR="00781521" w:rsidRPr="006C734F">
        <w:rPr>
          <w:rFonts w:ascii="Times New Roman" w:hAnsi="Times New Roman" w:cs="Times New Roman"/>
          <w:sz w:val="20"/>
          <w:szCs w:val="20"/>
        </w:rPr>
        <w:t xml:space="preserve">) and an electrolysis cell of a conventional type. The electrolysis cell was equipped with a working glassy carbon electrode (GCE, Tokay GC 20, </w:t>
      </w:r>
      <w:r w:rsidR="007940F0" w:rsidRPr="006C734F">
        <w:rPr>
          <w:rFonts w:ascii="Times New Roman" w:hAnsi="Times New Roman" w:cs="Times New Roman"/>
          <w:sz w:val="20"/>
          <w:szCs w:val="20"/>
        </w:rPr>
        <w:t xml:space="preserve">www.tokaicarbon.co.jp/en/products/fine_carbon/gc.html, </w:t>
      </w:r>
      <w:r w:rsidR="00781521" w:rsidRPr="006C734F">
        <w:rPr>
          <w:rFonts w:ascii="Times New Roman" w:hAnsi="Times New Roman" w:cs="Times New Roman"/>
          <w:sz w:val="20"/>
          <w:szCs w:val="20"/>
        </w:rPr>
        <w:t>3 mm diameter, bare or modified), Pt wire as an auxiliary electrode, and Ag, AgCl/KCl</w:t>
      </w:r>
      <w:r w:rsidR="00781521" w:rsidRPr="006C734F">
        <w:rPr>
          <w:rFonts w:ascii="Times New Roman" w:hAnsi="Times New Roman" w:cs="Times New Roman"/>
          <w:sz w:val="20"/>
          <w:szCs w:val="20"/>
          <w:vertAlign w:val="subscript"/>
        </w:rPr>
        <w:t>sat</w:t>
      </w:r>
      <w:r w:rsidR="00781521" w:rsidRPr="006C734F">
        <w:rPr>
          <w:rFonts w:ascii="Times New Roman" w:hAnsi="Times New Roman" w:cs="Times New Roman"/>
          <w:sz w:val="20"/>
          <w:szCs w:val="20"/>
        </w:rPr>
        <w:t xml:space="preserve"> as a reference.</w:t>
      </w:r>
    </w:p>
    <w:p w14:paraId="504809C2" w14:textId="02028DCC" w:rsidR="00781521" w:rsidRPr="006C734F" w:rsidRDefault="007D13CC" w:rsidP="00EA38B7">
      <w:pPr>
        <w:pStyle w:val="NoSpacing"/>
        <w:ind w:firstLine="360"/>
        <w:jc w:val="both"/>
        <w:rPr>
          <w:rFonts w:ascii="Times New Roman" w:hAnsi="Times New Roman" w:cs="Times New Roman"/>
          <w:sz w:val="20"/>
          <w:szCs w:val="20"/>
        </w:rPr>
      </w:pPr>
      <w:r w:rsidRPr="006C734F">
        <w:rPr>
          <w:rFonts w:ascii="Times New Roman" w:hAnsi="Times New Roman" w:cs="Times New Roman"/>
          <w:sz w:val="20"/>
          <w:szCs w:val="20"/>
        </w:rPr>
        <w:t xml:space="preserve">The morphological characterization of the modified electrodes was performed by scanning electron microscopy </w:t>
      </w:r>
      <w:r w:rsidR="009578D1" w:rsidRPr="006C734F">
        <w:rPr>
          <w:rFonts w:ascii="Times New Roman" w:hAnsi="Times New Roman" w:cs="Times New Roman"/>
          <w:sz w:val="20"/>
          <w:szCs w:val="20"/>
        </w:rPr>
        <w:t xml:space="preserve">(SEM) </w:t>
      </w:r>
      <w:r w:rsidRPr="006C734F">
        <w:rPr>
          <w:rFonts w:ascii="Times New Roman" w:hAnsi="Times New Roman" w:cs="Times New Roman"/>
          <w:sz w:val="20"/>
          <w:szCs w:val="20"/>
        </w:rPr>
        <w:t xml:space="preserve">using a </w:t>
      </w:r>
      <w:r w:rsidR="00781521" w:rsidRPr="006C734F">
        <w:rPr>
          <w:rFonts w:ascii="Times New Roman" w:hAnsi="Times New Roman" w:cs="Times New Roman"/>
          <w:sz w:val="20"/>
          <w:szCs w:val="20"/>
        </w:rPr>
        <w:t>JEOL scanning elec</w:t>
      </w:r>
      <w:r w:rsidR="00FB2E48" w:rsidRPr="006C734F">
        <w:rPr>
          <w:rFonts w:ascii="Times New Roman" w:hAnsi="Times New Roman" w:cs="Times New Roman"/>
          <w:sz w:val="20"/>
          <w:szCs w:val="20"/>
        </w:rPr>
        <w:t>tron microscope JSM-6010PLUS/LV (www.jeolusa.com/PRODUCTS/Scanning-Electron-Microscopes-SEM).</w:t>
      </w:r>
    </w:p>
    <w:p w14:paraId="504809C3" w14:textId="77777777" w:rsidR="00075F18" w:rsidRPr="006C734F" w:rsidRDefault="00075F18" w:rsidP="00541F4F">
      <w:pPr>
        <w:pStyle w:val="NoSpacing"/>
        <w:jc w:val="both"/>
        <w:rPr>
          <w:rFonts w:ascii="Times New Roman" w:hAnsi="Times New Roman" w:cs="Times New Roman"/>
          <w:sz w:val="20"/>
          <w:szCs w:val="20"/>
        </w:rPr>
      </w:pPr>
    </w:p>
    <w:p w14:paraId="504809C5" w14:textId="583FC190" w:rsidR="009B3424" w:rsidRPr="006C734F" w:rsidRDefault="00DB4AC6" w:rsidP="00541F4F">
      <w:pPr>
        <w:pStyle w:val="NoSpacing"/>
        <w:jc w:val="both"/>
        <w:rPr>
          <w:rFonts w:ascii="Times New Roman" w:hAnsi="Times New Roman" w:cs="Times New Roman"/>
          <w:b/>
          <w:sz w:val="20"/>
          <w:szCs w:val="20"/>
        </w:rPr>
      </w:pPr>
      <w:r w:rsidRPr="006C734F">
        <w:rPr>
          <w:rFonts w:ascii="Times New Roman" w:hAnsi="Times New Roman" w:cs="Times New Roman"/>
          <w:b/>
          <w:sz w:val="20"/>
          <w:szCs w:val="20"/>
        </w:rPr>
        <w:t>Glassy carbon electrode modification</w:t>
      </w:r>
    </w:p>
    <w:p w14:paraId="504809C6" w14:textId="5CAA36DE" w:rsidR="0032599B" w:rsidRPr="006C734F" w:rsidRDefault="00DB4AC6" w:rsidP="00541F4F">
      <w:pPr>
        <w:pStyle w:val="NoSpacing"/>
        <w:jc w:val="both"/>
        <w:rPr>
          <w:rFonts w:ascii="Times New Roman" w:hAnsi="Times New Roman" w:cs="Times New Roman"/>
          <w:sz w:val="20"/>
          <w:szCs w:val="20"/>
        </w:rPr>
      </w:pPr>
      <w:r w:rsidRPr="006C734F">
        <w:rPr>
          <w:rFonts w:ascii="Times New Roman" w:hAnsi="Times New Roman" w:cs="Times New Roman"/>
          <w:sz w:val="20"/>
          <w:szCs w:val="20"/>
        </w:rPr>
        <w:t xml:space="preserve">The working GCE was polished using a 0.05 </w:t>
      </w:r>
      <w:r w:rsidR="00B557D5" w:rsidRPr="006C734F">
        <w:rPr>
          <w:rFonts w:ascii="Times New Roman" w:hAnsi="Times New Roman" w:cs="Times New Roman"/>
          <w:sz w:val="20"/>
          <w:szCs w:val="20"/>
        </w:rPr>
        <w:t>µ</w:t>
      </w:r>
      <w:r w:rsidRPr="006C734F">
        <w:rPr>
          <w:rFonts w:ascii="Times New Roman" w:hAnsi="Times New Roman" w:cs="Times New Roman"/>
          <w:sz w:val="20"/>
          <w:szCs w:val="20"/>
        </w:rPr>
        <w:t>m alumina polishing abrasive (PACE Technologies, USA</w:t>
      </w:r>
      <w:r w:rsidR="00D95685" w:rsidRPr="006C734F">
        <w:rPr>
          <w:rFonts w:ascii="Times New Roman" w:hAnsi="Times New Roman" w:cs="Times New Roman"/>
          <w:sz w:val="20"/>
          <w:szCs w:val="20"/>
        </w:rPr>
        <w:t>, www.metallographic.com</w:t>
      </w:r>
      <w:r w:rsidRPr="006C734F">
        <w:rPr>
          <w:rFonts w:ascii="Times New Roman" w:hAnsi="Times New Roman" w:cs="Times New Roman"/>
          <w:sz w:val="20"/>
          <w:szCs w:val="20"/>
        </w:rPr>
        <w:t xml:space="preserve">), </w:t>
      </w:r>
      <w:r w:rsidR="003779DF" w:rsidRPr="006C734F">
        <w:rPr>
          <w:rFonts w:ascii="Times New Roman" w:hAnsi="Times New Roman" w:cs="Times New Roman"/>
          <w:sz w:val="20"/>
          <w:szCs w:val="20"/>
        </w:rPr>
        <w:t>degreased with alcohol, and ultrasonically cleaned.</w:t>
      </w:r>
      <w:r w:rsidR="00533E4F" w:rsidRPr="006C734F">
        <w:rPr>
          <w:rFonts w:ascii="Times New Roman" w:hAnsi="Times New Roman" w:cs="Times New Roman"/>
          <w:sz w:val="20"/>
          <w:szCs w:val="20"/>
        </w:rPr>
        <w:t xml:space="preserve"> Then, three types of chemically modified electrodes were elaborated, as follows.</w:t>
      </w:r>
      <w:r w:rsidR="00077BC7" w:rsidRPr="006C734F">
        <w:rPr>
          <w:rFonts w:ascii="Times New Roman" w:hAnsi="Times New Roman" w:cs="Times New Roman"/>
          <w:sz w:val="20"/>
          <w:szCs w:val="20"/>
        </w:rPr>
        <w:t xml:space="preserve"> </w:t>
      </w:r>
      <w:r w:rsidR="00997AF1" w:rsidRPr="006C734F">
        <w:rPr>
          <w:rFonts w:ascii="Times New Roman" w:hAnsi="Times New Roman" w:cs="Times New Roman"/>
          <w:sz w:val="20"/>
          <w:szCs w:val="20"/>
        </w:rPr>
        <w:t>A Bi-</w:t>
      </w:r>
      <w:r w:rsidR="009B3424" w:rsidRPr="006C734F">
        <w:rPr>
          <w:rFonts w:ascii="Times New Roman" w:hAnsi="Times New Roman" w:cs="Times New Roman"/>
          <w:sz w:val="20"/>
          <w:szCs w:val="20"/>
        </w:rPr>
        <w:t>film modified glassy carbon electrode (</w:t>
      </w:r>
      <w:r w:rsidR="00BB0687" w:rsidRPr="006C734F">
        <w:rPr>
          <w:rFonts w:ascii="Times New Roman" w:hAnsi="Times New Roman" w:cs="Times New Roman"/>
          <w:sz w:val="20"/>
          <w:szCs w:val="20"/>
        </w:rPr>
        <w:t>Bi/GCE</w:t>
      </w:r>
      <w:r w:rsidR="009B3424" w:rsidRPr="006C734F">
        <w:rPr>
          <w:rFonts w:ascii="Times New Roman" w:hAnsi="Times New Roman" w:cs="Times New Roman"/>
          <w:sz w:val="20"/>
          <w:szCs w:val="20"/>
        </w:rPr>
        <w:t xml:space="preserve">) was fabricated by ex situ </w:t>
      </w:r>
      <w:r w:rsidR="00BB0687" w:rsidRPr="006C734F">
        <w:rPr>
          <w:rFonts w:ascii="Times New Roman" w:hAnsi="Times New Roman" w:cs="Times New Roman"/>
          <w:sz w:val="20"/>
          <w:szCs w:val="20"/>
        </w:rPr>
        <w:t>bismuth</w:t>
      </w:r>
      <w:r w:rsidR="006966A7" w:rsidRPr="006C734F">
        <w:rPr>
          <w:rFonts w:ascii="Times New Roman" w:hAnsi="Times New Roman" w:cs="Times New Roman"/>
          <w:sz w:val="20"/>
          <w:szCs w:val="20"/>
        </w:rPr>
        <w:t xml:space="preserve"> </w:t>
      </w:r>
      <w:r w:rsidR="00E23D72" w:rsidRPr="006C734F">
        <w:rPr>
          <w:rFonts w:ascii="Times New Roman" w:hAnsi="Times New Roman" w:cs="Times New Roman"/>
          <w:sz w:val="20"/>
          <w:szCs w:val="20"/>
        </w:rPr>
        <w:t>electro</w:t>
      </w:r>
      <w:r w:rsidR="006966A7" w:rsidRPr="006C734F">
        <w:rPr>
          <w:rFonts w:ascii="Times New Roman" w:hAnsi="Times New Roman" w:cs="Times New Roman"/>
          <w:sz w:val="20"/>
          <w:szCs w:val="20"/>
        </w:rPr>
        <w:t>deposition</w:t>
      </w:r>
      <w:r w:rsidR="00D95685" w:rsidRPr="006C734F">
        <w:rPr>
          <w:rFonts w:ascii="Times New Roman" w:hAnsi="Times New Roman" w:cs="Times New Roman"/>
          <w:sz w:val="20"/>
          <w:szCs w:val="20"/>
        </w:rPr>
        <w:t xml:space="preserve"> from an acetate buffer</w:t>
      </w:r>
      <w:r w:rsidR="00E23D72" w:rsidRPr="006C734F">
        <w:rPr>
          <w:rFonts w:ascii="Times New Roman" w:hAnsi="Times New Roman" w:cs="Times New Roman"/>
          <w:sz w:val="20"/>
          <w:szCs w:val="20"/>
        </w:rPr>
        <w:t xml:space="preserve"> (pH 4.5) containing 5 mg L</w:t>
      </w:r>
      <w:r w:rsidR="00E23D72" w:rsidRPr="006C734F">
        <w:rPr>
          <w:rFonts w:ascii="Times New Roman" w:hAnsi="Times New Roman" w:cs="Times New Roman"/>
          <w:sz w:val="20"/>
          <w:szCs w:val="20"/>
          <w:vertAlign w:val="superscript"/>
        </w:rPr>
        <w:t>-1</w:t>
      </w:r>
      <w:r w:rsidR="00E23D72" w:rsidRPr="006C734F">
        <w:rPr>
          <w:rFonts w:ascii="Times New Roman" w:hAnsi="Times New Roman" w:cs="Times New Roman"/>
          <w:sz w:val="20"/>
          <w:szCs w:val="20"/>
        </w:rPr>
        <w:t xml:space="preserve"> Bi</w:t>
      </w:r>
      <w:r w:rsidR="00E23D72" w:rsidRPr="006C734F">
        <w:rPr>
          <w:rFonts w:ascii="Times New Roman" w:hAnsi="Times New Roman" w:cs="Times New Roman"/>
          <w:sz w:val="20"/>
          <w:szCs w:val="20"/>
          <w:vertAlign w:val="superscript"/>
        </w:rPr>
        <w:t>3+</w:t>
      </w:r>
      <w:r w:rsidR="00E23D72" w:rsidRPr="006C734F">
        <w:rPr>
          <w:rFonts w:ascii="Times New Roman" w:hAnsi="Times New Roman" w:cs="Times New Roman"/>
          <w:sz w:val="20"/>
          <w:szCs w:val="20"/>
        </w:rPr>
        <w:t xml:space="preserve">. The electrodeposition was achieved by </w:t>
      </w:r>
      <w:r w:rsidR="006966A7" w:rsidRPr="006C734F">
        <w:rPr>
          <w:rFonts w:ascii="Times New Roman" w:hAnsi="Times New Roman" w:cs="Times New Roman"/>
          <w:sz w:val="20"/>
          <w:szCs w:val="20"/>
        </w:rPr>
        <w:t xml:space="preserve">constant potential electrolysis </w:t>
      </w:r>
      <w:r w:rsidR="00E23D72" w:rsidRPr="006C734F">
        <w:rPr>
          <w:rFonts w:ascii="Times New Roman" w:hAnsi="Times New Roman" w:cs="Times New Roman"/>
          <w:sz w:val="20"/>
          <w:szCs w:val="20"/>
        </w:rPr>
        <w:t>(-1 V vs. Ag, AgCl/KCl</w:t>
      </w:r>
      <w:r w:rsidR="00E23D72" w:rsidRPr="006C734F">
        <w:rPr>
          <w:rFonts w:ascii="Times New Roman" w:hAnsi="Times New Roman" w:cs="Times New Roman"/>
          <w:sz w:val="20"/>
          <w:szCs w:val="20"/>
          <w:vertAlign w:val="subscript"/>
        </w:rPr>
        <w:t>sat</w:t>
      </w:r>
      <w:r w:rsidR="00E23D72" w:rsidRPr="006C734F">
        <w:rPr>
          <w:rFonts w:ascii="Times New Roman" w:hAnsi="Times New Roman" w:cs="Times New Roman"/>
          <w:sz w:val="20"/>
          <w:szCs w:val="20"/>
        </w:rPr>
        <w:t>) for various time pe</w:t>
      </w:r>
      <w:r w:rsidR="00633D7C" w:rsidRPr="006C734F">
        <w:rPr>
          <w:rFonts w:ascii="Times New Roman" w:hAnsi="Times New Roman" w:cs="Times New Roman"/>
          <w:sz w:val="20"/>
          <w:szCs w:val="20"/>
        </w:rPr>
        <w:t>riods under stirring (300 rpm).</w:t>
      </w:r>
      <w:r w:rsidR="00077BC7" w:rsidRPr="006C734F">
        <w:rPr>
          <w:rFonts w:ascii="Times New Roman" w:hAnsi="Times New Roman" w:cs="Times New Roman"/>
          <w:sz w:val="20"/>
          <w:szCs w:val="20"/>
        </w:rPr>
        <w:t xml:space="preserve"> </w:t>
      </w:r>
      <w:r w:rsidR="00533E4F" w:rsidRPr="006C734F">
        <w:rPr>
          <w:rFonts w:ascii="Times New Roman" w:hAnsi="Times New Roman" w:cs="Times New Roman"/>
          <w:sz w:val="20"/>
          <w:szCs w:val="20"/>
        </w:rPr>
        <w:t>A graphite nanopowder modified glassy carbon electrode (</w:t>
      </w:r>
      <w:r w:rsidR="005C0D3B" w:rsidRPr="006C734F">
        <w:rPr>
          <w:rFonts w:ascii="Times New Roman" w:hAnsi="Times New Roman" w:cs="Times New Roman"/>
          <w:sz w:val="20"/>
          <w:szCs w:val="20"/>
        </w:rPr>
        <w:t>Gr/GCE</w:t>
      </w:r>
      <w:r w:rsidR="00533E4F" w:rsidRPr="006C734F">
        <w:rPr>
          <w:rFonts w:ascii="Times New Roman" w:hAnsi="Times New Roman" w:cs="Times New Roman"/>
          <w:sz w:val="20"/>
          <w:szCs w:val="20"/>
        </w:rPr>
        <w:t xml:space="preserve">) was </w:t>
      </w:r>
      <w:r w:rsidR="008C76F9" w:rsidRPr="006C734F">
        <w:rPr>
          <w:rFonts w:ascii="Times New Roman" w:hAnsi="Times New Roman" w:cs="Times New Roman"/>
          <w:sz w:val="20"/>
          <w:szCs w:val="20"/>
        </w:rPr>
        <w:t xml:space="preserve">obtained by spin coating </w:t>
      </w:r>
      <w:r w:rsidR="0032599B" w:rsidRPr="006C734F">
        <w:rPr>
          <w:rFonts w:ascii="Times New Roman" w:hAnsi="Times New Roman" w:cs="Times New Roman"/>
          <w:sz w:val="20"/>
          <w:szCs w:val="20"/>
        </w:rPr>
        <w:t xml:space="preserve">on </w:t>
      </w:r>
      <w:r w:rsidR="00F75FDA" w:rsidRPr="006C734F">
        <w:rPr>
          <w:rFonts w:ascii="Times New Roman" w:hAnsi="Times New Roman" w:cs="Times New Roman"/>
          <w:sz w:val="20"/>
          <w:szCs w:val="20"/>
        </w:rPr>
        <w:t>the</w:t>
      </w:r>
      <w:r w:rsidR="0032599B" w:rsidRPr="006C734F">
        <w:rPr>
          <w:rFonts w:ascii="Times New Roman" w:hAnsi="Times New Roman" w:cs="Times New Roman"/>
          <w:sz w:val="20"/>
          <w:szCs w:val="20"/>
        </w:rPr>
        <w:t xml:space="preserve"> surface of </w:t>
      </w:r>
      <w:r w:rsidR="00F75FDA" w:rsidRPr="006C734F">
        <w:rPr>
          <w:rFonts w:ascii="Times New Roman" w:hAnsi="Times New Roman" w:cs="Times New Roman"/>
          <w:sz w:val="20"/>
          <w:szCs w:val="20"/>
        </w:rPr>
        <w:t xml:space="preserve">the GCE of </w:t>
      </w:r>
      <w:r w:rsidR="0032599B" w:rsidRPr="006C734F">
        <w:rPr>
          <w:rFonts w:ascii="Times New Roman" w:hAnsi="Times New Roman" w:cs="Times New Roman"/>
          <w:sz w:val="20"/>
          <w:szCs w:val="20"/>
        </w:rPr>
        <w:t>5 µL of the LG</w:t>
      </w:r>
      <w:r w:rsidR="00FD58BD" w:rsidRPr="006C734F">
        <w:rPr>
          <w:rFonts w:ascii="Times New Roman" w:hAnsi="Times New Roman" w:cs="Times New Roman"/>
          <w:sz w:val="20"/>
          <w:szCs w:val="20"/>
        </w:rPr>
        <w:t>r</w:t>
      </w:r>
      <w:r w:rsidR="0032599B" w:rsidRPr="006C734F">
        <w:rPr>
          <w:rFonts w:ascii="Times New Roman" w:hAnsi="Times New Roman" w:cs="Times New Roman"/>
          <w:sz w:val="20"/>
          <w:szCs w:val="20"/>
        </w:rPr>
        <w:t xml:space="preserve"> mixture and 30 min drying at ambient temperature.</w:t>
      </w:r>
      <w:r w:rsidR="00077BC7" w:rsidRPr="006C734F">
        <w:rPr>
          <w:rFonts w:ascii="Times New Roman" w:hAnsi="Times New Roman" w:cs="Times New Roman"/>
          <w:sz w:val="20"/>
          <w:szCs w:val="20"/>
        </w:rPr>
        <w:t xml:space="preserve"> </w:t>
      </w:r>
      <w:r w:rsidR="00423C3A" w:rsidRPr="006C734F">
        <w:rPr>
          <w:rFonts w:ascii="Times New Roman" w:hAnsi="Times New Roman" w:cs="Times New Roman"/>
          <w:sz w:val="20"/>
          <w:szCs w:val="20"/>
        </w:rPr>
        <w:t>Finally,</w:t>
      </w:r>
      <w:r w:rsidR="00997AF1" w:rsidRPr="006C734F">
        <w:rPr>
          <w:rFonts w:ascii="Times New Roman" w:hAnsi="Times New Roman" w:cs="Times New Roman"/>
          <w:sz w:val="20"/>
          <w:szCs w:val="20"/>
        </w:rPr>
        <w:t xml:space="preserve"> a Bi-</w:t>
      </w:r>
      <w:r w:rsidR="00F5440D" w:rsidRPr="006C734F">
        <w:rPr>
          <w:rFonts w:ascii="Times New Roman" w:hAnsi="Times New Roman" w:cs="Times New Roman"/>
          <w:sz w:val="20"/>
          <w:szCs w:val="20"/>
        </w:rPr>
        <w:t xml:space="preserve">film was deposited, as previously described, onto the surface of the graphite </w:t>
      </w:r>
      <w:r w:rsidR="00EC5D8E" w:rsidRPr="006C734F">
        <w:rPr>
          <w:rFonts w:ascii="Times New Roman" w:hAnsi="Times New Roman" w:cs="Times New Roman"/>
          <w:sz w:val="20"/>
          <w:szCs w:val="20"/>
        </w:rPr>
        <w:t>composite</w:t>
      </w:r>
      <w:r w:rsidR="00F5440D" w:rsidRPr="006C734F">
        <w:rPr>
          <w:rFonts w:ascii="Times New Roman" w:hAnsi="Times New Roman" w:cs="Times New Roman"/>
          <w:sz w:val="20"/>
          <w:szCs w:val="20"/>
        </w:rPr>
        <w:t xml:space="preserve"> modified glassy carbon electrode to elaborate the </w:t>
      </w:r>
      <w:r w:rsidR="005C05C5" w:rsidRPr="006C734F">
        <w:rPr>
          <w:rFonts w:ascii="Times New Roman" w:hAnsi="Times New Roman" w:cs="Times New Roman"/>
          <w:sz w:val="20"/>
          <w:szCs w:val="20"/>
        </w:rPr>
        <w:t xml:space="preserve">large </w:t>
      </w:r>
      <w:r w:rsidR="00997AF1" w:rsidRPr="006C734F">
        <w:rPr>
          <w:rFonts w:ascii="Times New Roman" w:hAnsi="Times New Roman" w:cs="Times New Roman"/>
          <w:sz w:val="20"/>
          <w:szCs w:val="20"/>
        </w:rPr>
        <w:t>surface graphite immobilized Bi-</w:t>
      </w:r>
      <w:r w:rsidR="005C05C5" w:rsidRPr="006C734F">
        <w:rPr>
          <w:rFonts w:ascii="Times New Roman" w:hAnsi="Times New Roman" w:cs="Times New Roman"/>
          <w:sz w:val="20"/>
          <w:szCs w:val="20"/>
        </w:rPr>
        <w:t>film electrode (</w:t>
      </w:r>
      <w:r w:rsidR="005C0D3B" w:rsidRPr="006C734F">
        <w:rPr>
          <w:rFonts w:ascii="Times New Roman" w:hAnsi="Times New Roman" w:cs="Times New Roman"/>
          <w:sz w:val="20"/>
          <w:szCs w:val="20"/>
        </w:rPr>
        <w:t>Bi/Gr/</w:t>
      </w:r>
      <w:r w:rsidR="005C05C5" w:rsidRPr="006C734F">
        <w:rPr>
          <w:rFonts w:ascii="Times New Roman" w:hAnsi="Times New Roman" w:cs="Times New Roman"/>
          <w:sz w:val="20"/>
          <w:szCs w:val="20"/>
        </w:rPr>
        <w:t>GCE).</w:t>
      </w:r>
    </w:p>
    <w:p w14:paraId="504809C7" w14:textId="77777777" w:rsidR="00DB5B66" w:rsidRPr="006C734F" w:rsidRDefault="00DB5B66" w:rsidP="00541F4F">
      <w:pPr>
        <w:pStyle w:val="NoSpacing"/>
        <w:jc w:val="both"/>
        <w:rPr>
          <w:rFonts w:ascii="Times New Roman" w:hAnsi="Times New Roman" w:cs="Times New Roman"/>
          <w:sz w:val="20"/>
          <w:szCs w:val="20"/>
        </w:rPr>
      </w:pPr>
    </w:p>
    <w:p w14:paraId="504809C8" w14:textId="77777777" w:rsidR="00DB5B66" w:rsidRPr="006C734F" w:rsidRDefault="00C7619A" w:rsidP="00EA38B7">
      <w:pPr>
        <w:pStyle w:val="NoSpacing"/>
        <w:jc w:val="both"/>
        <w:rPr>
          <w:rFonts w:ascii="Times New Roman" w:hAnsi="Times New Roman" w:cs="Times New Roman"/>
          <w:b/>
          <w:sz w:val="20"/>
          <w:szCs w:val="20"/>
        </w:rPr>
      </w:pPr>
      <w:r w:rsidRPr="006C734F">
        <w:rPr>
          <w:rFonts w:ascii="Times New Roman" w:hAnsi="Times New Roman" w:cs="Times New Roman"/>
          <w:b/>
          <w:sz w:val="20"/>
          <w:szCs w:val="20"/>
        </w:rPr>
        <w:t xml:space="preserve">Renewal of the </w:t>
      </w:r>
      <w:r w:rsidR="0093267F" w:rsidRPr="006C734F">
        <w:rPr>
          <w:rFonts w:ascii="Times New Roman" w:hAnsi="Times New Roman" w:cs="Times New Roman"/>
          <w:b/>
          <w:sz w:val="20"/>
          <w:szCs w:val="20"/>
        </w:rPr>
        <w:t>Bi/Gr/GCE</w:t>
      </w:r>
    </w:p>
    <w:p w14:paraId="504809CA" w14:textId="1833076E" w:rsidR="00DB5B66" w:rsidRPr="006C734F" w:rsidRDefault="00771871" w:rsidP="00541F4F">
      <w:pPr>
        <w:pStyle w:val="NoSpacing"/>
        <w:jc w:val="both"/>
        <w:rPr>
          <w:rFonts w:ascii="Times New Roman" w:hAnsi="Times New Roman" w:cs="Times New Roman"/>
          <w:sz w:val="20"/>
          <w:szCs w:val="20"/>
        </w:rPr>
      </w:pPr>
      <w:r w:rsidRPr="006C734F">
        <w:rPr>
          <w:rFonts w:ascii="Times New Roman" w:hAnsi="Times New Roman" w:cs="Times New Roman"/>
          <w:sz w:val="20"/>
          <w:szCs w:val="20"/>
        </w:rPr>
        <w:t xml:space="preserve">The renewal of the </w:t>
      </w:r>
      <w:r w:rsidR="005C0D3B" w:rsidRPr="006C734F">
        <w:rPr>
          <w:rFonts w:ascii="Times New Roman" w:hAnsi="Times New Roman" w:cs="Times New Roman"/>
          <w:sz w:val="20"/>
          <w:szCs w:val="20"/>
        </w:rPr>
        <w:t>Bi/Gr/</w:t>
      </w:r>
      <w:r w:rsidRPr="006C734F">
        <w:rPr>
          <w:rFonts w:ascii="Times New Roman" w:hAnsi="Times New Roman" w:cs="Times New Roman"/>
          <w:sz w:val="20"/>
          <w:szCs w:val="20"/>
        </w:rPr>
        <w:t xml:space="preserve">GCE was achieved by electrochemical dissolution of the Bi film, applying a constant potential </w:t>
      </w:r>
      <w:r w:rsidR="00963603" w:rsidRPr="006C734F">
        <w:rPr>
          <w:rFonts w:ascii="Times New Roman" w:hAnsi="Times New Roman" w:cs="Times New Roman"/>
          <w:sz w:val="20"/>
          <w:szCs w:val="20"/>
        </w:rPr>
        <w:t xml:space="preserve">of </w:t>
      </w:r>
      <w:r w:rsidRPr="006C734F">
        <w:rPr>
          <w:rFonts w:ascii="Times New Roman" w:hAnsi="Times New Roman" w:cs="Times New Roman"/>
          <w:sz w:val="20"/>
          <w:szCs w:val="20"/>
        </w:rPr>
        <w:t>0.3 V vs. Ag, AgCl/KCl</w:t>
      </w:r>
      <w:r w:rsidRPr="006C734F">
        <w:rPr>
          <w:rFonts w:ascii="Times New Roman" w:hAnsi="Times New Roman" w:cs="Times New Roman"/>
          <w:sz w:val="20"/>
          <w:szCs w:val="20"/>
          <w:vertAlign w:val="subscript"/>
        </w:rPr>
        <w:t>sat.</w:t>
      </w:r>
      <w:r w:rsidR="00C823C1" w:rsidRPr="006C734F">
        <w:rPr>
          <w:rFonts w:ascii="Times New Roman" w:hAnsi="Times New Roman" w:cs="Times New Roman"/>
          <w:sz w:val="20"/>
          <w:szCs w:val="20"/>
        </w:rPr>
        <w:t xml:space="preserve"> for 30 s [</w:t>
      </w:r>
      <w:r w:rsidR="002535BA" w:rsidRPr="006C734F">
        <w:rPr>
          <w:rFonts w:ascii="Times New Roman" w:hAnsi="Times New Roman" w:cs="Times New Roman"/>
          <w:sz w:val="20"/>
          <w:szCs w:val="20"/>
        </w:rPr>
        <w:t>19</w:t>
      </w:r>
      <w:r w:rsidR="00C823C1" w:rsidRPr="006C734F">
        <w:rPr>
          <w:rFonts w:ascii="Times New Roman" w:hAnsi="Times New Roman" w:cs="Times New Roman"/>
          <w:sz w:val="20"/>
          <w:szCs w:val="20"/>
        </w:rPr>
        <w:t>] and subsequent deposition of a new Bi film.</w:t>
      </w:r>
    </w:p>
    <w:p w14:paraId="504809CB" w14:textId="77777777" w:rsidR="00781521" w:rsidRPr="006C734F" w:rsidRDefault="00781521" w:rsidP="00541F4F">
      <w:pPr>
        <w:pStyle w:val="NoSpacing"/>
        <w:jc w:val="both"/>
        <w:rPr>
          <w:rFonts w:ascii="Times New Roman" w:hAnsi="Times New Roman" w:cs="Times New Roman"/>
          <w:sz w:val="20"/>
          <w:szCs w:val="20"/>
        </w:rPr>
      </w:pPr>
    </w:p>
    <w:p w14:paraId="07F3079A" w14:textId="4A5C7D6C" w:rsidR="00E10BEF" w:rsidRPr="006C734F" w:rsidRDefault="00E10BEF" w:rsidP="00541F4F">
      <w:pPr>
        <w:pStyle w:val="NoSpacing"/>
        <w:jc w:val="both"/>
        <w:rPr>
          <w:rFonts w:ascii="Times New Roman" w:hAnsi="Times New Roman" w:cs="Times New Roman"/>
          <w:b/>
          <w:sz w:val="20"/>
          <w:szCs w:val="20"/>
        </w:rPr>
      </w:pPr>
      <w:r w:rsidRPr="006C734F">
        <w:rPr>
          <w:rFonts w:ascii="Times New Roman" w:hAnsi="Times New Roman" w:cs="Times New Roman"/>
          <w:b/>
          <w:sz w:val="20"/>
          <w:szCs w:val="20"/>
        </w:rPr>
        <w:t>Paraoxon determination</w:t>
      </w:r>
    </w:p>
    <w:p w14:paraId="4282555D" w14:textId="1E58051E" w:rsidR="00E10BEF" w:rsidRDefault="002464B3" w:rsidP="00541F4F">
      <w:pPr>
        <w:pStyle w:val="NoSpacing"/>
        <w:jc w:val="both"/>
        <w:rPr>
          <w:rFonts w:ascii="Times New Roman" w:hAnsi="Times New Roman" w:cs="Times New Roman"/>
          <w:sz w:val="20"/>
          <w:szCs w:val="20"/>
        </w:rPr>
      </w:pPr>
      <w:r w:rsidRPr="006C734F">
        <w:rPr>
          <w:rFonts w:ascii="Times New Roman" w:hAnsi="Times New Roman" w:cs="Times New Roman"/>
          <w:sz w:val="20"/>
          <w:szCs w:val="20"/>
        </w:rPr>
        <w:t>A</w:t>
      </w:r>
      <w:r w:rsidR="002203D3" w:rsidRPr="006C734F">
        <w:rPr>
          <w:rFonts w:ascii="Times New Roman" w:hAnsi="Times New Roman" w:cs="Times New Roman"/>
          <w:sz w:val="20"/>
          <w:szCs w:val="20"/>
        </w:rPr>
        <w:t>liquot</w:t>
      </w:r>
      <w:r w:rsidRPr="006C734F">
        <w:rPr>
          <w:rFonts w:ascii="Times New Roman" w:hAnsi="Times New Roman" w:cs="Times New Roman"/>
          <w:sz w:val="20"/>
          <w:szCs w:val="20"/>
        </w:rPr>
        <w:t>s</w:t>
      </w:r>
      <w:r w:rsidR="002203D3" w:rsidRPr="006C734F">
        <w:rPr>
          <w:rFonts w:ascii="Times New Roman" w:hAnsi="Times New Roman" w:cs="Times New Roman"/>
          <w:sz w:val="20"/>
          <w:szCs w:val="20"/>
        </w:rPr>
        <w:t xml:space="preserve"> of the paraoxon stock</w:t>
      </w:r>
      <w:r w:rsidRPr="006C734F">
        <w:rPr>
          <w:rFonts w:ascii="Times New Roman" w:hAnsi="Times New Roman" w:cs="Times New Roman"/>
          <w:sz w:val="20"/>
          <w:szCs w:val="20"/>
        </w:rPr>
        <w:t xml:space="preserve"> solution were</w:t>
      </w:r>
      <w:r w:rsidR="002203D3" w:rsidRPr="006C734F">
        <w:rPr>
          <w:rFonts w:ascii="Times New Roman" w:hAnsi="Times New Roman" w:cs="Times New Roman"/>
          <w:sz w:val="20"/>
          <w:szCs w:val="20"/>
        </w:rPr>
        <w:t xml:space="preserve"> </w:t>
      </w:r>
      <w:r w:rsidRPr="006C734F">
        <w:rPr>
          <w:rFonts w:ascii="Times New Roman" w:hAnsi="Times New Roman" w:cs="Times New Roman"/>
          <w:sz w:val="20"/>
          <w:szCs w:val="20"/>
        </w:rPr>
        <w:t xml:space="preserve">consecutively </w:t>
      </w:r>
      <w:r w:rsidR="002203D3" w:rsidRPr="006C734F">
        <w:rPr>
          <w:rFonts w:ascii="Times New Roman" w:hAnsi="Times New Roman" w:cs="Times New Roman"/>
          <w:sz w:val="20"/>
          <w:szCs w:val="20"/>
        </w:rPr>
        <w:t>added to the Britton-Robinson buffer filled electrolysis cell.</w:t>
      </w:r>
      <w:r w:rsidRPr="006C734F">
        <w:rPr>
          <w:rFonts w:ascii="Times New Roman" w:hAnsi="Times New Roman" w:cs="Times New Roman"/>
          <w:sz w:val="20"/>
          <w:szCs w:val="20"/>
        </w:rPr>
        <w:t xml:space="preserve"> Each of the </w:t>
      </w:r>
      <w:r w:rsidR="002203D3" w:rsidRPr="006C734F">
        <w:rPr>
          <w:rFonts w:ascii="Times New Roman" w:hAnsi="Times New Roman" w:cs="Times New Roman"/>
          <w:sz w:val="20"/>
          <w:szCs w:val="20"/>
        </w:rPr>
        <w:t>sample</w:t>
      </w:r>
      <w:r w:rsidRPr="006C734F">
        <w:rPr>
          <w:rFonts w:ascii="Times New Roman" w:hAnsi="Times New Roman" w:cs="Times New Roman"/>
          <w:sz w:val="20"/>
          <w:szCs w:val="20"/>
        </w:rPr>
        <w:t>s was</w:t>
      </w:r>
      <w:r w:rsidR="002203D3" w:rsidRPr="006C734F">
        <w:rPr>
          <w:rFonts w:ascii="Times New Roman" w:hAnsi="Times New Roman" w:cs="Times New Roman"/>
          <w:sz w:val="20"/>
          <w:szCs w:val="20"/>
        </w:rPr>
        <w:t xml:space="preserve"> directly </w:t>
      </w:r>
      <w:r w:rsidRPr="006C734F">
        <w:rPr>
          <w:rFonts w:ascii="Times New Roman" w:hAnsi="Times New Roman" w:cs="Times New Roman"/>
          <w:sz w:val="20"/>
          <w:szCs w:val="20"/>
        </w:rPr>
        <w:t>quantified</w:t>
      </w:r>
      <w:r w:rsidR="002203D3" w:rsidRPr="006C734F">
        <w:rPr>
          <w:rFonts w:ascii="Times New Roman" w:hAnsi="Times New Roman" w:cs="Times New Roman"/>
          <w:sz w:val="20"/>
          <w:szCs w:val="20"/>
        </w:rPr>
        <w:t xml:space="preserve"> by differential pulse voltammetry (DPV) with the following parameters: </w:t>
      </w:r>
      <w:r w:rsidR="00E10BEF" w:rsidRPr="006C734F">
        <w:rPr>
          <w:rFonts w:ascii="Times New Roman" w:hAnsi="Times New Roman" w:cs="Times New Roman"/>
          <w:sz w:val="20"/>
          <w:szCs w:val="20"/>
        </w:rPr>
        <w:t xml:space="preserve">initial potential -0.25 V, final potential -0.9 V, increment 4 mV, amplitude 50 mV, pulse width 50 </w:t>
      </w:r>
      <w:proofErr w:type="spellStart"/>
      <w:r w:rsidR="00E10BEF" w:rsidRPr="006C734F">
        <w:rPr>
          <w:rFonts w:ascii="Times New Roman" w:hAnsi="Times New Roman" w:cs="Times New Roman"/>
          <w:sz w:val="20"/>
          <w:szCs w:val="20"/>
        </w:rPr>
        <w:t>ms</w:t>
      </w:r>
      <w:proofErr w:type="spellEnd"/>
      <w:r w:rsidR="00E10BEF" w:rsidRPr="006C734F">
        <w:rPr>
          <w:rFonts w:ascii="Times New Roman" w:hAnsi="Times New Roman" w:cs="Times New Roman"/>
          <w:sz w:val="20"/>
          <w:szCs w:val="20"/>
        </w:rPr>
        <w:t>, sampling width 0.0167 s, and pulse period 0.5 s.</w:t>
      </w:r>
      <w:r w:rsidR="0027573F" w:rsidRPr="006C734F">
        <w:rPr>
          <w:rFonts w:ascii="Times New Roman" w:hAnsi="Times New Roman" w:cs="Times New Roman"/>
          <w:sz w:val="20"/>
          <w:szCs w:val="20"/>
        </w:rPr>
        <w:t xml:space="preserve"> </w:t>
      </w:r>
      <w:r w:rsidR="00B33D03" w:rsidRPr="006C734F">
        <w:rPr>
          <w:rFonts w:ascii="Times New Roman" w:hAnsi="Times New Roman" w:cs="Times New Roman"/>
          <w:sz w:val="20"/>
          <w:szCs w:val="20"/>
        </w:rPr>
        <w:t>The registered</w:t>
      </w:r>
      <w:r w:rsidR="00E10BEF" w:rsidRPr="006C734F">
        <w:rPr>
          <w:rFonts w:ascii="Times New Roman" w:hAnsi="Times New Roman" w:cs="Times New Roman"/>
          <w:sz w:val="20"/>
          <w:szCs w:val="20"/>
        </w:rPr>
        <w:t xml:space="preserve"> DPV curves were analyzed to establish the value of the peak current. A calibration plot (peak current vs. paraoxon concentration) was constructed.</w:t>
      </w:r>
    </w:p>
    <w:p w14:paraId="680CA5D4" w14:textId="77777777" w:rsidR="002464B3" w:rsidRPr="002464B3" w:rsidRDefault="002464B3" w:rsidP="00541F4F">
      <w:pPr>
        <w:pStyle w:val="NoSpacing"/>
        <w:jc w:val="both"/>
        <w:rPr>
          <w:rFonts w:ascii="Times New Roman" w:hAnsi="Times New Roman" w:cs="Times New Roman"/>
          <w:sz w:val="20"/>
          <w:szCs w:val="20"/>
        </w:rPr>
      </w:pPr>
    </w:p>
    <w:p w14:paraId="504809CC" w14:textId="77777777" w:rsidR="00781521" w:rsidRPr="00314E4C" w:rsidRDefault="00683274" w:rsidP="00541F4F">
      <w:pPr>
        <w:pStyle w:val="NoSpacing"/>
        <w:jc w:val="both"/>
        <w:rPr>
          <w:rFonts w:ascii="Times New Roman" w:hAnsi="Times New Roman" w:cs="Times New Roman"/>
          <w:b/>
        </w:rPr>
      </w:pPr>
      <w:r w:rsidRPr="00314E4C">
        <w:rPr>
          <w:rFonts w:ascii="Times New Roman" w:hAnsi="Times New Roman" w:cs="Times New Roman"/>
          <w:b/>
        </w:rPr>
        <w:t>Results and Discussion</w:t>
      </w:r>
    </w:p>
    <w:p w14:paraId="504809CD" w14:textId="77777777" w:rsidR="00683274" w:rsidRPr="00314E4C" w:rsidRDefault="00683274" w:rsidP="00541F4F">
      <w:pPr>
        <w:pStyle w:val="NoSpacing"/>
        <w:jc w:val="both"/>
        <w:rPr>
          <w:rFonts w:ascii="Times New Roman" w:hAnsi="Times New Roman" w:cs="Times New Roman"/>
          <w:sz w:val="20"/>
          <w:szCs w:val="20"/>
        </w:rPr>
      </w:pPr>
    </w:p>
    <w:p w14:paraId="23093C79" w14:textId="77777777" w:rsidR="001F5019" w:rsidRPr="006C734F" w:rsidRDefault="001F5019" w:rsidP="00541F4F">
      <w:pPr>
        <w:pStyle w:val="NoSpacing"/>
        <w:jc w:val="both"/>
        <w:rPr>
          <w:rFonts w:ascii="Times New Roman" w:hAnsi="Times New Roman" w:cs="Times New Roman"/>
          <w:b/>
          <w:sz w:val="20"/>
          <w:szCs w:val="20"/>
        </w:rPr>
      </w:pPr>
      <w:r w:rsidRPr="006C734F">
        <w:rPr>
          <w:rFonts w:ascii="Times New Roman" w:hAnsi="Times New Roman" w:cs="Times New Roman"/>
          <w:b/>
          <w:sz w:val="20"/>
          <w:szCs w:val="20"/>
        </w:rPr>
        <w:t>Electrode modification optimization</w:t>
      </w:r>
    </w:p>
    <w:p w14:paraId="1FAA070C" w14:textId="2BC67A6F" w:rsidR="008A06BE" w:rsidRPr="006C734F" w:rsidRDefault="001F5019" w:rsidP="00541F4F">
      <w:pPr>
        <w:pStyle w:val="NoSpacing"/>
        <w:jc w:val="both"/>
        <w:rPr>
          <w:rFonts w:ascii="Times New Roman" w:hAnsi="Times New Roman" w:cs="Times New Roman"/>
          <w:sz w:val="20"/>
          <w:szCs w:val="20"/>
        </w:rPr>
      </w:pPr>
      <w:r w:rsidRPr="006C734F">
        <w:rPr>
          <w:rFonts w:ascii="Times New Roman" w:hAnsi="Times New Roman" w:cs="Times New Roman"/>
          <w:sz w:val="20"/>
          <w:szCs w:val="20"/>
        </w:rPr>
        <w:t>The optimization of the graphite immobilized Bi-film electrode fabrication was performed by analyzing the effect of the graphite load and of the Bi deposition time on the electrode cyclic voltammetric response to paraoxon reduction.</w:t>
      </w:r>
      <w:r w:rsidR="00F740C9" w:rsidRPr="006C734F">
        <w:rPr>
          <w:rFonts w:ascii="Times New Roman" w:hAnsi="Times New Roman" w:cs="Times New Roman"/>
          <w:sz w:val="20"/>
          <w:szCs w:val="20"/>
        </w:rPr>
        <w:t xml:space="preserve"> Respective data and figures are give</w:t>
      </w:r>
      <w:r w:rsidR="003A2B78" w:rsidRPr="006C734F">
        <w:rPr>
          <w:rFonts w:ascii="Times New Roman" w:hAnsi="Times New Roman" w:cs="Times New Roman"/>
          <w:sz w:val="20"/>
          <w:szCs w:val="20"/>
        </w:rPr>
        <w:t>n in the Electronic Supporting M</w:t>
      </w:r>
      <w:r w:rsidR="00F740C9" w:rsidRPr="006C734F">
        <w:rPr>
          <w:rFonts w:ascii="Times New Roman" w:hAnsi="Times New Roman" w:cs="Times New Roman"/>
          <w:sz w:val="20"/>
          <w:szCs w:val="20"/>
        </w:rPr>
        <w:t xml:space="preserve">aterial (ESM). </w:t>
      </w:r>
      <w:r w:rsidR="008A06BE" w:rsidRPr="006C734F">
        <w:rPr>
          <w:rFonts w:ascii="Times New Roman" w:hAnsi="Times New Roman" w:cs="Times New Roman"/>
          <w:sz w:val="20"/>
          <w:szCs w:val="20"/>
        </w:rPr>
        <w:t>Best results were obtained by modifying the GCE with a hybrid suspension of laponite 1 mg mL</w:t>
      </w:r>
      <w:r w:rsidR="008A06BE" w:rsidRPr="006C734F">
        <w:rPr>
          <w:rFonts w:ascii="Times New Roman" w:hAnsi="Times New Roman" w:cs="Times New Roman"/>
          <w:sz w:val="20"/>
          <w:szCs w:val="20"/>
          <w:vertAlign w:val="superscript"/>
        </w:rPr>
        <w:t>-1</w:t>
      </w:r>
      <w:r w:rsidR="008A06BE" w:rsidRPr="006C734F">
        <w:rPr>
          <w:rFonts w:ascii="Times New Roman" w:hAnsi="Times New Roman" w:cs="Times New Roman"/>
          <w:sz w:val="20"/>
          <w:szCs w:val="20"/>
        </w:rPr>
        <w:t xml:space="preserve"> and graphite nanopowder 2 mg L</w:t>
      </w:r>
      <w:r w:rsidR="008A06BE" w:rsidRPr="006C734F">
        <w:rPr>
          <w:rFonts w:ascii="Times New Roman" w:hAnsi="Times New Roman" w:cs="Times New Roman"/>
          <w:sz w:val="20"/>
          <w:szCs w:val="20"/>
          <w:vertAlign w:val="superscript"/>
        </w:rPr>
        <w:t>-1</w:t>
      </w:r>
      <w:r w:rsidR="008A06BE" w:rsidRPr="006C734F">
        <w:rPr>
          <w:rFonts w:ascii="Times New Roman" w:hAnsi="Times New Roman" w:cs="Times New Roman"/>
          <w:sz w:val="20"/>
          <w:szCs w:val="20"/>
        </w:rPr>
        <w:t>, followed by Bi</w:t>
      </w:r>
      <w:r w:rsidR="008A06BE" w:rsidRPr="006C734F">
        <w:rPr>
          <w:rFonts w:ascii="Times New Roman" w:hAnsi="Times New Roman" w:cs="Times New Roman"/>
          <w:sz w:val="20"/>
          <w:szCs w:val="20"/>
          <w:vertAlign w:val="superscript"/>
        </w:rPr>
        <w:t>3+</w:t>
      </w:r>
      <w:r w:rsidR="008F0B12" w:rsidRPr="006C734F">
        <w:rPr>
          <w:rFonts w:ascii="Times New Roman" w:hAnsi="Times New Roman" w:cs="Times New Roman"/>
          <w:sz w:val="20"/>
          <w:szCs w:val="20"/>
        </w:rPr>
        <w:t xml:space="preserve"> electrodeposition for </w:t>
      </w:r>
      <w:r w:rsidR="00173866" w:rsidRPr="006C734F">
        <w:rPr>
          <w:rFonts w:ascii="Times New Roman" w:hAnsi="Times New Roman" w:cs="Times New Roman"/>
          <w:sz w:val="20"/>
          <w:szCs w:val="20"/>
        </w:rPr>
        <w:t xml:space="preserve">a period of </w:t>
      </w:r>
      <w:r w:rsidR="008F0B12" w:rsidRPr="006C734F">
        <w:rPr>
          <w:rFonts w:ascii="Times New Roman" w:hAnsi="Times New Roman" w:cs="Times New Roman"/>
          <w:sz w:val="20"/>
          <w:szCs w:val="20"/>
        </w:rPr>
        <w:t>5 min.</w:t>
      </w:r>
    </w:p>
    <w:p w14:paraId="56F108A5" w14:textId="77777777" w:rsidR="001F5019" w:rsidRPr="006C734F" w:rsidRDefault="001F5019" w:rsidP="00541F4F">
      <w:pPr>
        <w:pStyle w:val="NoSpacing"/>
        <w:jc w:val="both"/>
        <w:rPr>
          <w:rFonts w:ascii="Times New Roman" w:hAnsi="Times New Roman" w:cs="Times New Roman"/>
          <w:sz w:val="20"/>
          <w:szCs w:val="20"/>
        </w:rPr>
      </w:pPr>
    </w:p>
    <w:p w14:paraId="504809DC" w14:textId="3461A7A7" w:rsidR="00DB78BB" w:rsidRPr="00314E4C" w:rsidRDefault="00DB78BB" w:rsidP="00541F4F">
      <w:pPr>
        <w:pStyle w:val="NoSpacing"/>
        <w:jc w:val="both"/>
        <w:rPr>
          <w:rFonts w:ascii="Times New Roman" w:hAnsi="Times New Roman" w:cs="Times New Roman"/>
          <w:b/>
          <w:sz w:val="20"/>
          <w:szCs w:val="20"/>
        </w:rPr>
      </w:pPr>
      <w:r w:rsidRPr="006C734F">
        <w:rPr>
          <w:rFonts w:ascii="Times New Roman" w:hAnsi="Times New Roman" w:cs="Times New Roman"/>
          <w:b/>
          <w:sz w:val="20"/>
          <w:szCs w:val="20"/>
        </w:rPr>
        <w:t xml:space="preserve">Electrochemical characterization of </w:t>
      </w:r>
      <w:r w:rsidR="006C438F" w:rsidRPr="006C734F">
        <w:rPr>
          <w:rFonts w:ascii="Times New Roman" w:hAnsi="Times New Roman" w:cs="Times New Roman"/>
          <w:b/>
          <w:sz w:val="20"/>
          <w:szCs w:val="20"/>
        </w:rPr>
        <w:t xml:space="preserve">the </w:t>
      </w:r>
      <w:r w:rsidR="003B23CD" w:rsidRPr="006C734F">
        <w:rPr>
          <w:rFonts w:ascii="Times New Roman" w:hAnsi="Times New Roman" w:cs="Times New Roman"/>
          <w:b/>
          <w:sz w:val="20"/>
          <w:szCs w:val="20"/>
        </w:rPr>
        <w:t>Bi/Gr/</w:t>
      </w:r>
      <w:r w:rsidR="006C438F" w:rsidRPr="006C734F">
        <w:rPr>
          <w:rFonts w:ascii="Times New Roman" w:hAnsi="Times New Roman" w:cs="Times New Roman"/>
          <w:b/>
          <w:sz w:val="20"/>
          <w:szCs w:val="20"/>
        </w:rPr>
        <w:t>GCE</w:t>
      </w:r>
    </w:p>
    <w:p w14:paraId="504809DE" w14:textId="7E314CDF" w:rsidR="00DB78BB" w:rsidRPr="00314E4C" w:rsidRDefault="00A7022C" w:rsidP="00541F4F">
      <w:pPr>
        <w:pStyle w:val="NoSpacing"/>
        <w:jc w:val="both"/>
        <w:rPr>
          <w:rFonts w:ascii="Times New Roman" w:hAnsi="Times New Roman" w:cs="Times New Roman"/>
          <w:sz w:val="20"/>
          <w:szCs w:val="20"/>
        </w:rPr>
      </w:pPr>
      <w:r w:rsidRPr="00314E4C">
        <w:rPr>
          <w:rFonts w:ascii="Times New Roman" w:hAnsi="Times New Roman" w:cs="Times New Roman"/>
          <w:sz w:val="20"/>
          <w:szCs w:val="20"/>
        </w:rPr>
        <w:t>PNP (p</w:t>
      </w:r>
      <w:r w:rsidR="00246B50" w:rsidRPr="00314E4C">
        <w:rPr>
          <w:rFonts w:ascii="Times New Roman" w:hAnsi="Times New Roman" w:cs="Times New Roman"/>
          <w:sz w:val="20"/>
          <w:szCs w:val="20"/>
        </w:rPr>
        <w:t>-</w:t>
      </w:r>
      <w:r w:rsidRPr="00314E4C">
        <w:rPr>
          <w:rFonts w:ascii="Times New Roman" w:hAnsi="Times New Roman" w:cs="Times New Roman"/>
          <w:sz w:val="20"/>
          <w:szCs w:val="20"/>
        </w:rPr>
        <w:t>nitrophenol)</w:t>
      </w:r>
      <w:r w:rsidR="00A72121" w:rsidRPr="00314E4C">
        <w:rPr>
          <w:rFonts w:ascii="Times New Roman" w:hAnsi="Times New Roman" w:cs="Times New Roman"/>
          <w:sz w:val="20"/>
          <w:szCs w:val="20"/>
        </w:rPr>
        <w:t xml:space="preserve"> was selected</w:t>
      </w:r>
      <w:r w:rsidR="00246B50" w:rsidRPr="00314E4C">
        <w:rPr>
          <w:rFonts w:ascii="Times New Roman" w:hAnsi="Times New Roman" w:cs="Times New Roman"/>
          <w:sz w:val="20"/>
          <w:szCs w:val="20"/>
        </w:rPr>
        <w:t xml:space="preserve"> as a model </w:t>
      </w:r>
      <w:r w:rsidR="00EB658E" w:rsidRPr="00314E4C">
        <w:rPr>
          <w:rFonts w:ascii="Times New Roman" w:hAnsi="Times New Roman" w:cs="Times New Roman"/>
          <w:sz w:val="20"/>
          <w:szCs w:val="20"/>
        </w:rPr>
        <w:t xml:space="preserve">compound </w:t>
      </w:r>
      <w:r w:rsidR="00246B50" w:rsidRPr="00314E4C">
        <w:rPr>
          <w:rFonts w:ascii="Times New Roman" w:hAnsi="Times New Roman" w:cs="Times New Roman"/>
          <w:sz w:val="20"/>
          <w:szCs w:val="20"/>
        </w:rPr>
        <w:t xml:space="preserve">for the </w:t>
      </w:r>
      <w:r w:rsidR="00940455" w:rsidRPr="00314E4C">
        <w:rPr>
          <w:rFonts w:ascii="Times New Roman" w:hAnsi="Times New Roman" w:cs="Times New Roman"/>
          <w:sz w:val="20"/>
          <w:szCs w:val="20"/>
        </w:rPr>
        <w:t xml:space="preserve">electrochemical characterization of the </w:t>
      </w:r>
      <w:r w:rsidR="00520559" w:rsidRPr="00314E4C">
        <w:rPr>
          <w:rFonts w:ascii="Times New Roman" w:hAnsi="Times New Roman" w:cs="Times New Roman"/>
          <w:sz w:val="20"/>
          <w:szCs w:val="20"/>
        </w:rPr>
        <w:t>Bi/Gr/GCE</w:t>
      </w:r>
      <w:r w:rsidR="00246B50" w:rsidRPr="00314E4C">
        <w:rPr>
          <w:rFonts w:ascii="Times New Roman" w:hAnsi="Times New Roman" w:cs="Times New Roman"/>
          <w:sz w:val="20"/>
          <w:szCs w:val="20"/>
        </w:rPr>
        <w:t xml:space="preserve">. </w:t>
      </w:r>
      <w:r w:rsidR="00476CD6" w:rsidRPr="00314E4C">
        <w:rPr>
          <w:rFonts w:ascii="Times New Roman" w:hAnsi="Times New Roman" w:cs="Times New Roman"/>
          <w:sz w:val="20"/>
          <w:szCs w:val="20"/>
        </w:rPr>
        <w:t xml:space="preserve">As known, </w:t>
      </w:r>
      <w:r w:rsidR="007269AC" w:rsidRPr="00314E4C">
        <w:rPr>
          <w:rFonts w:ascii="Times New Roman" w:hAnsi="Times New Roman" w:cs="Times New Roman"/>
          <w:sz w:val="20"/>
          <w:szCs w:val="20"/>
        </w:rPr>
        <w:t>PNP</w:t>
      </w:r>
      <w:r w:rsidR="00476CD6" w:rsidRPr="00314E4C">
        <w:rPr>
          <w:rFonts w:ascii="Times New Roman" w:hAnsi="Times New Roman" w:cs="Times New Roman"/>
          <w:sz w:val="20"/>
          <w:szCs w:val="20"/>
        </w:rPr>
        <w:t xml:space="preserve"> reduction</w:t>
      </w:r>
      <w:r w:rsidR="008E0C78" w:rsidRPr="00314E4C">
        <w:rPr>
          <w:rFonts w:ascii="Times New Roman" w:hAnsi="Times New Roman" w:cs="Times New Roman"/>
          <w:sz w:val="20"/>
          <w:szCs w:val="20"/>
        </w:rPr>
        <w:t xml:space="preserve">, which is irreversible, </w:t>
      </w:r>
      <w:r w:rsidR="00476CD6" w:rsidRPr="00314E4C">
        <w:rPr>
          <w:rFonts w:ascii="Times New Roman" w:hAnsi="Times New Roman" w:cs="Times New Roman"/>
          <w:sz w:val="20"/>
          <w:szCs w:val="20"/>
        </w:rPr>
        <w:t>occurs according to the following reaction</w:t>
      </w:r>
      <w:r w:rsidR="008D2090" w:rsidRPr="00314E4C">
        <w:rPr>
          <w:rFonts w:ascii="Times New Roman" w:hAnsi="Times New Roman" w:cs="Times New Roman"/>
          <w:sz w:val="20"/>
          <w:szCs w:val="20"/>
        </w:rPr>
        <w:t xml:space="preserve"> [</w:t>
      </w:r>
      <w:r w:rsidR="002535BA" w:rsidRPr="00C35319">
        <w:rPr>
          <w:rFonts w:ascii="Times New Roman" w:hAnsi="Times New Roman" w:cs="Times New Roman"/>
          <w:sz w:val="20"/>
          <w:szCs w:val="20"/>
        </w:rPr>
        <w:t>20, 21</w:t>
      </w:r>
      <w:r w:rsidR="00485CA9" w:rsidRPr="00314E4C">
        <w:rPr>
          <w:rFonts w:ascii="Times New Roman" w:hAnsi="Times New Roman" w:cs="Times New Roman"/>
          <w:sz w:val="20"/>
          <w:szCs w:val="20"/>
        </w:rPr>
        <w:t>]</w:t>
      </w:r>
      <w:r w:rsidR="00476CD6" w:rsidRPr="00314E4C">
        <w:rPr>
          <w:rFonts w:ascii="Times New Roman" w:hAnsi="Times New Roman" w:cs="Times New Roman"/>
          <w:sz w:val="20"/>
          <w:szCs w:val="20"/>
        </w:rPr>
        <w:t>:</w:t>
      </w:r>
    </w:p>
    <w:p w14:paraId="504809DF" w14:textId="2898E56F" w:rsidR="00476CD6" w:rsidRPr="00314E4C" w:rsidRDefault="00476CD6" w:rsidP="00541F4F">
      <w:pPr>
        <w:pStyle w:val="NoSpacing"/>
        <w:jc w:val="both"/>
        <w:rPr>
          <w:rFonts w:ascii="Times New Roman" w:hAnsi="Times New Roman" w:cs="Times New Roman"/>
          <w:sz w:val="20"/>
          <w:szCs w:val="20"/>
        </w:rPr>
      </w:pPr>
    </w:p>
    <w:p w14:paraId="504809E0" w14:textId="096C2CFB" w:rsidR="00C115B2" w:rsidRPr="00314E4C" w:rsidRDefault="00772A31" w:rsidP="006C613A">
      <w:pPr>
        <w:pStyle w:val="NoSpacing"/>
        <w:jc w:val="right"/>
        <w:rPr>
          <w:rFonts w:ascii="Times New Roman" w:hAnsi="Times New Roman" w:cs="Times New Roman"/>
          <w:sz w:val="20"/>
          <w:szCs w:val="20"/>
        </w:rPr>
      </w:pPr>
      <w:r w:rsidRPr="00772A31">
        <w:rPr>
          <w:noProof/>
        </w:rPr>
        <w:drawing>
          <wp:inline distT="0" distB="0" distL="0" distR="0" wp14:anchorId="160659C6" wp14:editId="0CAECA70">
            <wp:extent cx="2381250" cy="107632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381250" cy="1076325"/>
                    </a:xfrm>
                    <a:prstGeom prst="rect">
                      <a:avLst/>
                    </a:prstGeom>
                  </pic:spPr>
                </pic:pic>
              </a:graphicData>
            </a:graphic>
          </wp:inline>
        </w:drawing>
      </w:r>
      <w:r w:rsidR="006C613A" w:rsidRPr="00314E4C">
        <w:rPr>
          <w:rFonts w:ascii="Times New Roman" w:hAnsi="Times New Roman" w:cs="Times New Roman"/>
          <w:sz w:val="20"/>
          <w:szCs w:val="20"/>
        </w:rPr>
        <w:t xml:space="preserve">                                                  </w:t>
      </w:r>
      <w:r w:rsidR="00A84467" w:rsidRPr="00314E4C">
        <w:rPr>
          <w:rFonts w:ascii="Times New Roman" w:hAnsi="Times New Roman" w:cs="Times New Roman"/>
          <w:sz w:val="20"/>
          <w:szCs w:val="20"/>
        </w:rPr>
        <w:t>(1)</w:t>
      </w:r>
    </w:p>
    <w:p w14:paraId="504809E1" w14:textId="77777777" w:rsidR="00C115B2" w:rsidRPr="00314E4C" w:rsidRDefault="00C115B2" w:rsidP="00541F4F">
      <w:pPr>
        <w:pStyle w:val="NoSpacing"/>
        <w:jc w:val="both"/>
        <w:rPr>
          <w:rFonts w:ascii="Times New Roman" w:hAnsi="Times New Roman" w:cs="Times New Roman"/>
          <w:sz w:val="20"/>
          <w:szCs w:val="20"/>
        </w:rPr>
      </w:pPr>
    </w:p>
    <w:p w14:paraId="706C4911" w14:textId="77777777" w:rsidR="003F0CBB" w:rsidRDefault="008E0C78" w:rsidP="00EE29EB">
      <w:pPr>
        <w:pStyle w:val="NoSpacing"/>
        <w:ind w:firstLine="426"/>
        <w:jc w:val="both"/>
        <w:rPr>
          <w:rFonts w:ascii="Times New Roman" w:hAnsi="Times New Roman" w:cs="Times New Roman"/>
          <w:sz w:val="20"/>
          <w:szCs w:val="20"/>
        </w:rPr>
      </w:pPr>
      <w:r w:rsidRPr="00314E4C">
        <w:rPr>
          <w:rFonts w:ascii="Times New Roman" w:hAnsi="Times New Roman" w:cs="Times New Roman"/>
          <w:sz w:val="20"/>
          <w:szCs w:val="20"/>
        </w:rPr>
        <w:t xml:space="preserve">The electrochemical characterization of the </w:t>
      </w:r>
      <w:r w:rsidR="006D18E5" w:rsidRPr="00314E4C">
        <w:rPr>
          <w:rFonts w:ascii="Times New Roman" w:hAnsi="Times New Roman" w:cs="Times New Roman"/>
          <w:sz w:val="20"/>
          <w:szCs w:val="20"/>
        </w:rPr>
        <w:t>Bi/Gr/GCE</w:t>
      </w:r>
      <w:r w:rsidRPr="00314E4C">
        <w:rPr>
          <w:rFonts w:ascii="Times New Roman" w:hAnsi="Times New Roman" w:cs="Times New Roman"/>
          <w:sz w:val="20"/>
          <w:szCs w:val="20"/>
        </w:rPr>
        <w:t xml:space="preserve"> included the determination of its electroactive </w:t>
      </w:r>
      <w:r w:rsidR="00200744" w:rsidRPr="00314E4C">
        <w:rPr>
          <w:rFonts w:ascii="Times New Roman" w:hAnsi="Times New Roman" w:cs="Times New Roman"/>
          <w:sz w:val="20"/>
          <w:szCs w:val="20"/>
        </w:rPr>
        <w:t xml:space="preserve">surface </w:t>
      </w:r>
      <w:r w:rsidRPr="00314E4C">
        <w:rPr>
          <w:rFonts w:ascii="Times New Roman" w:hAnsi="Times New Roman" w:cs="Times New Roman"/>
          <w:sz w:val="20"/>
          <w:szCs w:val="20"/>
        </w:rPr>
        <w:t xml:space="preserve">area, as well as the catalytic rate constant of </w:t>
      </w:r>
      <w:r w:rsidR="006C1AA8" w:rsidRPr="00314E4C">
        <w:rPr>
          <w:rFonts w:ascii="Times New Roman" w:hAnsi="Times New Roman" w:cs="Times New Roman"/>
          <w:sz w:val="20"/>
          <w:szCs w:val="20"/>
        </w:rPr>
        <w:t xml:space="preserve">the </w:t>
      </w:r>
      <w:r w:rsidRPr="00314E4C">
        <w:rPr>
          <w:rFonts w:ascii="Times New Roman" w:hAnsi="Times New Roman" w:cs="Times New Roman"/>
          <w:sz w:val="20"/>
          <w:szCs w:val="20"/>
        </w:rPr>
        <w:t xml:space="preserve">PNP </w:t>
      </w:r>
      <w:r w:rsidR="00351494" w:rsidRPr="00314E4C">
        <w:rPr>
          <w:rFonts w:ascii="Times New Roman" w:hAnsi="Times New Roman" w:cs="Times New Roman"/>
          <w:sz w:val="20"/>
          <w:szCs w:val="20"/>
        </w:rPr>
        <w:t>reduction at</w:t>
      </w:r>
      <w:r w:rsidR="00200744" w:rsidRPr="00314E4C">
        <w:rPr>
          <w:rFonts w:ascii="Times New Roman" w:hAnsi="Times New Roman" w:cs="Times New Roman"/>
          <w:sz w:val="20"/>
          <w:szCs w:val="20"/>
        </w:rPr>
        <w:t xml:space="preserve"> the modified </w:t>
      </w:r>
      <w:r w:rsidRPr="00314E4C">
        <w:rPr>
          <w:rFonts w:ascii="Times New Roman" w:hAnsi="Times New Roman" w:cs="Times New Roman"/>
          <w:sz w:val="20"/>
          <w:szCs w:val="20"/>
        </w:rPr>
        <w:t xml:space="preserve">electrode. The </w:t>
      </w:r>
      <w:r w:rsidR="00C60433" w:rsidRPr="00314E4C">
        <w:rPr>
          <w:rFonts w:ascii="Times New Roman" w:hAnsi="Times New Roman" w:cs="Times New Roman"/>
          <w:sz w:val="20"/>
          <w:szCs w:val="20"/>
        </w:rPr>
        <w:t>evaluation</w:t>
      </w:r>
      <w:r w:rsidRPr="00314E4C">
        <w:rPr>
          <w:rFonts w:ascii="Times New Roman" w:hAnsi="Times New Roman" w:cs="Times New Roman"/>
          <w:sz w:val="20"/>
          <w:szCs w:val="20"/>
        </w:rPr>
        <w:t xml:space="preserve"> of the</w:t>
      </w:r>
      <w:r w:rsidR="00353F61" w:rsidRPr="00314E4C">
        <w:rPr>
          <w:rFonts w:ascii="Times New Roman" w:hAnsi="Times New Roman" w:cs="Times New Roman"/>
          <w:sz w:val="20"/>
          <w:szCs w:val="20"/>
        </w:rPr>
        <w:t xml:space="preserve">se parameters </w:t>
      </w:r>
      <w:r w:rsidR="00200744" w:rsidRPr="00314E4C">
        <w:rPr>
          <w:rFonts w:ascii="Times New Roman" w:hAnsi="Times New Roman" w:cs="Times New Roman"/>
          <w:sz w:val="20"/>
          <w:szCs w:val="20"/>
        </w:rPr>
        <w:t xml:space="preserve">was performed using </w:t>
      </w:r>
      <w:r w:rsidR="00353F61" w:rsidRPr="00314E4C">
        <w:rPr>
          <w:rFonts w:ascii="Times New Roman" w:hAnsi="Times New Roman" w:cs="Times New Roman"/>
          <w:sz w:val="20"/>
          <w:szCs w:val="20"/>
        </w:rPr>
        <w:t>chronoamperometric data</w:t>
      </w:r>
      <w:r w:rsidR="000955FC">
        <w:rPr>
          <w:rFonts w:ascii="Times New Roman" w:hAnsi="Times New Roman" w:cs="Times New Roman"/>
          <w:sz w:val="20"/>
          <w:szCs w:val="20"/>
        </w:rPr>
        <w:t xml:space="preserve"> (Fig. 1</w:t>
      </w:r>
      <w:r w:rsidR="007269AC" w:rsidRPr="00314E4C">
        <w:rPr>
          <w:rFonts w:ascii="Times New Roman" w:hAnsi="Times New Roman" w:cs="Times New Roman"/>
          <w:sz w:val="20"/>
          <w:szCs w:val="20"/>
        </w:rPr>
        <w:t>)</w:t>
      </w:r>
      <w:r w:rsidR="00353F61" w:rsidRPr="00314E4C">
        <w:rPr>
          <w:rFonts w:ascii="Times New Roman" w:hAnsi="Times New Roman" w:cs="Times New Roman"/>
          <w:sz w:val="20"/>
          <w:szCs w:val="20"/>
        </w:rPr>
        <w:t>.</w:t>
      </w:r>
    </w:p>
    <w:p w14:paraId="322A2F10" w14:textId="77777777" w:rsidR="003F0CBB" w:rsidRDefault="003F0CBB" w:rsidP="003F0CBB">
      <w:pPr>
        <w:pStyle w:val="NoSpacing"/>
        <w:jc w:val="both"/>
        <w:rPr>
          <w:rFonts w:ascii="Times New Roman" w:hAnsi="Times New Roman" w:cs="Times New Roman"/>
          <w:sz w:val="20"/>
          <w:szCs w:val="20"/>
        </w:rPr>
      </w:pPr>
    </w:p>
    <w:p w14:paraId="175C525B" w14:textId="25D0AD72" w:rsidR="003F0CBB" w:rsidRDefault="00D22269" w:rsidP="00D22269">
      <w:pPr>
        <w:pStyle w:val="NoSpacing"/>
        <w:jc w:val="center"/>
        <w:rPr>
          <w:rFonts w:ascii="Times New Roman" w:hAnsi="Times New Roman" w:cs="Times New Roman"/>
          <w:sz w:val="20"/>
          <w:szCs w:val="20"/>
        </w:rPr>
      </w:pPr>
      <w:r w:rsidRPr="00D22269">
        <w:rPr>
          <w:noProof/>
        </w:rPr>
        <w:drawing>
          <wp:inline distT="0" distB="0" distL="0" distR="0" wp14:anchorId="519AB8F8" wp14:editId="37B6D1AB">
            <wp:extent cx="4733333" cy="3466667"/>
            <wp:effectExtent l="0" t="0" r="0" b="63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33333" cy="3466667"/>
                    </a:xfrm>
                    <a:prstGeom prst="rect">
                      <a:avLst/>
                    </a:prstGeom>
                  </pic:spPr>
                </pic:pic>
              </a:graphicData>
            </a:graphic>
          </wp:inline>
        </w:drawing>
      </w:r>
    </w:p>
    <w:p w14:paraId="4BD022DB" w14:textId="77777777" w:rsidR="003F0CBB" w:rsidRDefault="003F0CBB" w:rsidP="003F0CBB">
      <w:pPr>
        <w:pStyle w:val="NoSpacing"/>
        <w:jc w:val="both"/>
        <w:rPr>
          <w:rFonts w:ascii="Times New Roman" w:hAnsi="Times New Roman" w:cs="Times New Roman"/>
          <w:sz w:val="20"/>
          <w:szCs w:val="20"/>
        </w:rPr>
      </w:pPr>
    </w:p>
    <w:p w14:paraId="7A03BCEC" w14:textId="77777777" w:rsidR="00D22269" w:rsidRPr="00314E4C" w:rsidRDefault="00D22269" w:rsidP="00D22269">
      <w:pPr>
        <w:pStyle w:val="NoSpacing"/>
        <w:jc w:val="both"/>
        <w:rPr>
          <w:rFonts w:ascii="Times New Roman" w:hAnsi="Times New Roman" w:cs="Times New Roman"/>
          <w:sz w:val="20"/>
          <w:szCs w:val="20"/>
        </w:rPr>
      </w:pPr>
      <w:r>
        <w:rPr>
          <w:rFonts w:ascii="Times New Roman" w:hAnsi="Times New Roman" w:cs="Times New Roman"/>
          <w:b/>
          <w:sz w:val="20"/>
          <w:szCs w:val="20"/>
        </w:rPr>
        <w:t>Fig. 1</w:t>
      </w:r>
      <w:r w:rsidRPr="00314E4C">
        <w:rPr>
          <w:rFonts w:ascii="Times New Roman" w:hAnsi="Times New Roman" w:cs="Times New Roman"/>
          <w:sz w:val="20"/>
          <w:szCs w:val="20"/>
        </w:rPr>
        <w:t xml:space="preserve"> A. Chronoamperograms obtained at Bi/Gr/GCE in Britton-Robinson buffer solution, pH 6.0. Potential step 400 mV. PNP concentration: (a) 0 mmol L</w:t>
      </w:r>
      <w:r w:rsidRPr="00314E4C">
        <w:rPr>
          <w:rFonts w:ascii="Times New Roman" w:hAnsi="Times New Roman" w:cs="Times New Roman"/>
          <w:sz w:val="20"/>
          <w:szCs w:val="20"/>
          <w:vertAlign w:val="superscript"/>
        </w:rPr>
        <w:t>-1</w:t>
      </w:r>
      <w:r w:rsidRPr="00314E4C">
        <w:rPr>
          <w:rFonts w:ascii="Times New Roman" w:hAnsi="Times New Roman" w:cs="Times New Roman"/>
          <w:sz w:val="20"/>
          <w:szCs w:val="20"/>
        </w:rPr>
        <w:t>; (b) 0.05 mmol L</w:t>
      </w:r>
      <w:r w:rsidRPr="00314E4C">
        <w:rPr>
          <w:rFonts w:ascii="Times New Roman" w:hAnsi="Times New Roman" w:cs="Times New Roman"/>
          <w:sz w:val="18"/>
          <w:szCs w:val="20"/>
          <w:vertAlign w:val="superscript"/>
        </w:rPr>
        <w:t>-1</w:t>
      </w:r>
      <w:r w:rsidRPr="00314E4C">
        <w:rPr>
          <w:rFonts w:ascii="Times New Roman" w:hAnsi="Times New Roman" w:cs="Times New Roman"/>
          <w:sz w:val="20"/>
          <w:szCs w:val="20"/>
        </w:rPr>
        <w:t>; (c) 0.1 mmol L</w:t>
      </w:r>
      <w:r w:rsidRPr="00314E4C">
        <w:rPr>
          <w:rFonts w:ascii="Times New Roman" w:hAnsi="Times New Roman" w:cs="Times New Roman"/>
          <w:sz w:val="18"/>
          <w:szCs w:val="20"/>
          <w:vertAlign w:val="superscript"/>
        </w:rPr>
        <w:t>-1</w:t>
      </w:r>
      <w:r w:rsidRPr="00314E4C">
        <w:rPr>
          <w:rFonts w:ascii="Times New Roman" w:hAnsi="Times New Roman" w:cs="Times New Roman"/>
          <w:sz w:val="20"/>
          <w:szCs w:val="20"/>
        </w:rPr>
        <w:t xml:space="preserve">. B. Cottrell plot derived from the chronoamperograms; C. </w:t>
      </w:r>
      <w:r w:rsidRPr="00314E4C">
        <w:rPr>
          <w:rFonts w:ascii="Times New Roman" w:hAnsi="Times New Roman" w:cs="Times New Roman"/>
          <w:i/>
          <w:sz w:val="20"/>
          <w:szCs w:val="20"/>
        </w:rPr>
        <w:t>I</w:t>
      </w:r>
      <w:r w:rsidRPr="00314E4C">
        <w:rPr>
          <w:rFonts w:ascii="Times New Roman" w:hAnsi="Times New Roman" w:cs="Times New Roman"/>
          <w:sz w:val="20"/>
          <w:szCs w:val="20"/>
          <w:vertAlign w:val="subscript"/>
        </w:rPr>
        <w:t>C</w:t>
      </w:r>
      <w:r w:rsidRPr="00314E4C">
        <w:rPr>
          <w:rFonts w:ascii="Times New Roman" w:hAnsi="Times New Roman" w:cs="Times New Roman"/>
          <w:sz w:val="20"/>
          <w:szCs w:val="20"/>
        </w:rPr>
        <w:t>/</w:t>
      </w:r>
      <w:r w:rsidRPr="00314E4C">
        <w:rPr>
          <w:rFonts w:ascii="Times New Roman" w:hAnsi="Times New Roman" w:cs="Times New Roman"/>
          <w:i/>
          <w:sz w:val="20"/>
          <w:szCs w:val="20"/>
        </w:rPr>
        <w:t>I</w:t>
      </w:r>
      <w:r w:rsidRPr="00314E4C">
        <w:rPr>
          <w:rFonts w:ascii="Times New Roman" w:hAnsi="Times New Roman" w:cs="Times New Roman"/>
          <w:sz w:val="20"/>
          <w:szCs w:val="20"/>
          <w:vertAlign w:val="subscript"/>
        </w:rPr>
        <w:t>L</w:t>
      </w:r>
      <w:r w:rsidRPr="00314E4C">
        <w:rPr>
          <w:rFonts w:ascii="Times New Roman" w:hAnsi="Times New Roman" w:cs="Times New Roman"/>
          <w:sz w:val="20"/>
          <w:szCs w:val="20"/>
        </w:rPr>
        <w:t xml:space="preserve"> vs. </w:t>
      </w:r>
      <w:r w:rsidRPr="00314E4C">
        <w:rPr>
          <w:rFonts w:ascii="Times New Roman" w:hAnsi="Times New Roman" w:cs="Times New Roman"/>
          <w:i/>
          <w:sz w:val="20"/>
          <w:szCs w:val="20"/>
        </w:rPr>
        <w:t>t</w:t>
      </w:r>
      <w:r w:rsidRPr="00314E4C">
        <w:rPr>
          <w:rFonts w:ascii="Times New Roman" w:hAnsi="Times New Roman" w:cs="Times New Roman"/>
          <w:sz w:val="20"/>
          <w:szCs w:val="20"/>
          <w:vertAlign w:val="superscript"/>
        </w:rPr>
        <w:t>0.5</w:t>
      </w:r>
      <w:r w:rsidRPr="00314E4C">
        <w:rPr>
          <w:rFonts w:ascii="Times New Roman" w:hAnsi="Times New Roman" w:cs="Times New Roman"/>
          <w:sz w:val="20"/>
          <w:szCs w:val="20"/>
        </w:rPr>
        <w:t xml:space="preserve"> plot derived from the chronoamperograms.</w:t>
      </w:r>
    </w:p>
    <w:p w14:paraId="0AD61570" w14:textId="77777777" w:rsidR="003F0CBB" w:rsidRDefault="003F0CBB" w:rsidP="003F0CBB">
      <w:pPr>
        <w:pStyle w:val="NoSpacing"/>
        <w:jc w:val="both"/>
        <w:rPr>
          <w:rFonts w:ascii="Times New Roman" w:hAnsi="Times New Roman" w:cs="Times New Roman"/>
          <w:sz w:val="20"/>
          <w:szCs w:val="20"/>
        </w:rPr>
      </w:pPr>
    </w:p>
    <w:p w14:paraId="504809E2" w14:textId="053C0578" w:rsidR="00724270" w:rsidRPr="00314E4C" w:rsidRDefault="006D18E5" w:rsidP="00EE29EB">
      <w:pPr>
        <w:pStyle w:val="NoSpacing"/>
        <w:ind w:firstLine="426"/>
        <w:jc w:val="both"/>
        <w:rPr>
          <w:rFonts w:ascii="Times New Roman" w:hAnsi="Times New Roman" w:cs="Times New Roman"/>
          <w:sz w:val="20"/>
          <w:szCs w:val="20"/>
        </w:rPr>
      </w:pPr>
      <w:r w:rsidRPr="00314E4C">
        <w:rPr>
          <w:rFonts w:ascii="Times New Roman" w:hAnsi="Times New Roman" w:cs="Times New Roman"/>
          <w:sz w:val="20"/>
          <w:szCs w:val="20"/>
        </w:rPr>
        <w:lastRenderedPageBreak/>
        <w:t xml:space="preserve">The </w:t>
      </w:r>
      <w:r w:rsidR="00353F61" w:rsidRPr="00314E4C">
        <w:rPr>
          <w:rFonts w:ascii="Times New Roman" w:hAnsi="Times New Roman" w:cs="Times New Roman"/>
          <w:sz w:val="20"/>
          <w:szCs w:val="20"/>
        </w:rPr>
        <w:t xml:space="preserve">active surface area value was deduced from the slope of the Cottrell </w:t>
      </w:r>
      <w:r w:rsidR="007269AC" w:rsidRPr="00314E4C">
        <w:rPr>
          <w:rFonts w:ascii="Times New Roman" w:hAnsi="Times New Roman" w:cs="Times New Roman"/>
          <w:sz w:val="20"/>
          <w:szCs w:val="20"/>
        </w:rPr>
        <w:t>plot</w:t>
      </w:r>
      <w:r w:rsidR="00353F61" w:rsidRPr="00314E4C">
        <w:rPr>
          <w:rFonts w:ascii="Times New Roman" w:hAnsi="Times New Roman" w:cs="Times New Roman"/>
          <w:sz w:val="20"/>
          <w:szCs w:val="20"/>
        </w:rPr>
        <w:t xml:space="preserve">, </w:t>
      </w:r>
      <w:r w:rsidR="004A4E0C" w:rsidRPr="00314E4C">
        <w:rPr>
          <w:rFonts w:ascii="Times New Roman" w:hAnsi="Times New Roman" w:cs="Times New Roman"/>
          <w:sz w:val="20"/>
          <w:szCs w:val="20"/>
        </w:rPr>
        <w:t xml:space="preserve">in conformity with </w:t>
      </w:r>
      <w:r w:rsidR="002535BA">
        <w:rPr>
          <w:rFonts w:ascii="Times New Roman" w:hAnsi="Times New Roman" w:cs="Times New Roman"/>
          <w:sz w:val="20"/>
          <w:szCs w:val="20"/>
        </w:rPr>
        <w:t>the Cottrell equation</w:t>
      </w:r>
      <w:r w:rsidR="00EE29EB" w:rsidRPr="00314E4C">
        <w:rPr>
          <w:rFonts w:ascii="Times New Roman" w:hAnsi="Times New Roman" w:cs="Times New Roman"/>
          <w:sz w:val="20"/>
          <w:szCs w:val="20"/>
        </w:rPr>
        <w:t>:</w:t>
      </w:r>
    </w:p>
    <w:p w14:paraId="504809E4" w14:textId="77777777" w:rsidR="00724270" w:rsidRPr="00314E4C" w:rsidRDefault="00724270" w:rsidP="00A84467">
      <w:pPr>
        <w:pStyle w:val="NoSpacing"/>
        <w:jc w:val="right"/>
        <w:rPr>
          <w:rFonts w:ascii="Times New Roman" w:hAnsi="Times New Roman" w:cs="Times New Roman"/>
          <w:sz w:val="20"/>
          <w:szCs w:val="20"/>
        </w:rPr>
      </w:pPr>
      <w:r w:rsidRPr="00314E4C">
        <w:rPr>
          <w:rFonts w:ascii="Times New Roman" w:hAnsi="Times New Roman" w:cs="Times New Roman"/>
          <w:i/>
          <w:sz w:val="20"/>
          <w:szCs w:val="20"/>
        </w:rPr>
        <w:t>I=</w:t>
      </w:r>
      <w:proofErr w:type="spellStart"/>
      <w:r w:rsidRPr="00314E4C">
        <w:rPr>
          <w:rFonts w:ascii="Times New Roman" w:hAnsi="Times New Roman" w:cs="Times New Roman"/>
          <w:i/>
          <w:sz w:val="20"/>
          <w:szCs w:val="20"/>
        </w:rPr>
        <w:t>nFAC</w:t>
      </w:r>
      <w:proofErr w:type="spellEnd"/>
      <w:r w:rsidRPr="00314E4C">
        <w:rPr>
          <w:rFonts w:ascii="Times New Roman" w:hAnsi="Times New Roman" w:cs="Times New Roman"/>
          <w:i/>
          <w:sz w:val="20"/>
          <w:szCs w:val="20"/>
        </w:rPr>
        <w:t>(D</w:t>
      </w:r>
      <w:r w:rsidRPr="00314E4C">
        <w:rPr>
          <w:rFonts w:ascii="Times New Roman" w:hAnsi="Times New Roman" w:cs="Times New Roman"/>
          <w:sz w:val="20"/>
          <w:szCs w:val="20"/>
        </w:rPr>
        <w:t>/</w:t>
      </w:r>
      <w:r w:rsidRPr="00314E4C">
        <w:rPr>
          <w:rFonts w:ascii="Times New Roman" w:hAnsi="Times New Roman" w:cs="Times New Roman"/>
          <w:sz w:val="20"/>
          <w:szCs w:val="20"/>
        </w:rPr>
        <w:sym w:font="Symbol" w:char="F070"/>
      </w:r>
      <w:r w:rsidRPr="00314E4C">
        <w:rPr>
          <w:rFonts w:ascii="Times New Roman" w:hAnsi="Times New Roman" w:cs="Times New Roman"/>
          <w:i/>
          <w:sz w:val="20"/>
          <w:szCs w:val="20"/>
        </w:rPr>
        <w:t>t</w:t>
      </w:r>
      <w:r w:rsidRPr="00314E4C">
        <w:rPr>
          <w:rFonts w:ascii="Times New Roman" w:hAnsi="Times New Roman" w:cs="Times New Roman"/>
          <w:sz w:val="20"/>
          <w:szCs w:val="20"/>
        </w:rPr>
        <w:t>)</w:t>
      </w:r>
      <w:r w:rsidRPr="00314E4C">
        <w:rPr>
          <w:rFonts w:ascii="Times New Roman" w:hAnsi="Times New Roman" w:cs="Times New Roman"/>
          <w:sz w:val="20"/>
          <w:szCs w:val="20"/>
          <w:vertAlign w:val="superscript"/>
        </w:rPr>
        <w:t>1/2</w:t>
      </w:r>
      <w:r w:rsidR="00A84467" w:rsidRPr="00314E4C">
        <w:rPr>
          <w:rFonts w:ascii="Times New Roman" w:hAnsi="Times New Roman" w:cs="Times New Roman"/>
          <w:sz w:val="20"/>
          <w:szCs w:val="20"/>
        </w:rPr>
        <w:t xml:space="preserve">                                                                              (2)</w:t>
      </w:r>
    </w:p>
    <w:p w14:paraId="13B162AF" w14:textId="77777777" w:rsidR="00F41F86" w:rsidRDefault="00F41F86" w:rsidP="00353F61">
      <w:pPr>
        <w:pStyle w:val="NoSpacing"/>
        <w:jc w:val="both"/>
        <w:rPr>
          <w:rFonts w:ascii="Times New Roman" w:hAnsi="Times New Roman" w:cs="Times New Roman"/>
          <w:sz w:val="20"/>
          <w:szCs w:val="20"/>
        </w:rPr>
      </w:pPr>
    </w:p>
    <w:p w14:paraId="504809E6" w14:textId="0BB172CA" w:rsidR="00353F61" w:rsidRPr="00314E4C" w:rsidRDefault="00724270" w:rsidP="00353F61">
      <w:pPr>
        <w:pStyle w:val="NoSpacing"/>
        <w:jc w:val="both"/>
        <w:rPr>
          <w:rFonts w:ascii="Times New Roman" w:hAnsi="Times New Roman" w:cs="Times New Roman"/>
          <w:sz w:val="20"/>
          <w:szCs w:val="20"/>
        </w:rPr>
      </w:pPr>
      <w:r w:rsidRPr="00314E4C">
        <w:rPr>
          <w:rFonts w:ascii="Times New Roman" w:hAnsi="Times New Roman" w:cs="Times New Roman"/>
          <w:sz w:val="20"/>
          <w:szCs w:val="20"/>
        </w:rPr>
        <w:t xml:space="preserve">where </w:t>
      </w:r>
      <w:r w:rsidRPr="00314E4C">
        <w:rPr>
          <w:rFonts w:ascii="Times New Roman" w:hAnsi="Times New Roman" w:cs="Times New Roman"/>
          <w:i/>
          <w:sz w:val="20"/>
          <w:szCs w:val="20"/>
        </w:rPr>
        <w:t>I</w:t>
      </w:r>
      <w:r w:rsidRPr="00314E4C">
        <w:rPr>
          <w:rFonts w:ascii="Times New Roman" w:hAnsi="Times New Roman" w:cs="Times New Roman"/>
          <w:sz w:val="20"/>
          <w:szCs w:val="20"/>
        </w:rPr>
        <w:t xml:space="preserve"> </w:t>
      </w:r>
      <w:proofErr w:type="gramStart"/>
      <w:r w:rsidRPr="00314E4C">
        <w:rPr>
          <w:rFonts w:ascii="Times New Roman" w:hAnsi="Times New Roman" w:cs="Times New Roman"/>
          <w:sz w:val="20"/>
          <w:szCs w:val="20"/>
        </w:rPr>
        <w:t>is</w:t>
      </w:r>
      <w:proofErr w:type="gramEnd"/>
      <w:r w:rsidRPr="00314E4C">
        <w:rPr>
          <w:rFonts w:ascii="Times New Roman" w:hAnsi="Times New Roman" w:cs="Times New Roman"/>
          <w:sz w:val="20"/>
          <w:szCs w:val="20"/>
        </w:rPr>
        <w:t xml:space="preserve"> the current (A), </w:t>
      </w:r>
      <w:r w:rsidRPr="00314E4C">
        <w:rPr>
          <w:rFonts w:ascii="Times New Roman" w:hAnsi="Times New Roman" w:cs="Times New Roman"/>
          <w:i/>
          <w:sz w:val="20"/>
          <w:szCs w:val="20"/>
        </w:rPr>
        <w:t>n</w:t>
      </w:r>
      <w:r w:rsidRPr="00314E4C">
        <w:rPr>
          <w:rFonts w:ascii="Times New Roman" w:hAnsi="Times New Roman" w:cs="Times New Roman"/>
          <w:sz w:val="20"/>
          <w:szCs w:val="20"/>
        </w:rPr>
        <w:t xml:space="preserve"> is the electron transfer number, </w:t>
      </w:r>
      <w:r w:rsidRPr="00314E4C">
        <w:rPr>
          <w:rFonts w:ascii="Times New Roman" w:hAnsi="Times New Roman" w:cs="Times New Roman"/>
          <w:i/>
          <w:sz w:val="20"/>
          <w:szCs w:val="20"/>
        </w:rPr>
        <w:t>F</w:t>
      </w:r>
      <w:r w:rsidRPr="00314E4C">
        <w:rPr>
          <w:rFonts w:ascii="Times New Roman" w:hAnsi="Times New Roman" w:cs="Times New Roman"/>
          <w:sz w:val="20"/>
          <w:szCs w:val="20"/>
        </w:rPr>
        <w:t xml:space="preserve"> is the Faraday constant (96 485 C mol</w:t>
      </w:r>
      <w:r w:rsidRPr="00314E4C">
        <w:rPr>
          <w:rFonts w:ascii="Times New Roman" w:hAnsi="Times New Roman" w:cs="Times New Roman"/>
          <w:sz w:val="20"/>
          <w:szCs w:val="20"/>
          <w:vertAlign w:val="superscript"/>
        </w:rPr>
        <w:t>-1</w:t>
      </w:r>
      <w:r w:rsidRPr="00314E4C">
        <w:rPr>
          <w:rFonts w:ascii="Times New Roman" w:hAnsi="Times New Roman" w:cs="Times New Roman"/>
          <w:sz w:val="20"/>
          <w:szCs w:val="20"/>
        </w:rPr>
        <w:t xml:space="preserve">) </w:t>
      </w:r>
      <w:r w:rsidRPr="00314E4C">
        <w:rPr>
          <w:rFonts w:ascii="Times New Roman" w:hAnsi="Times New Roman" w:cs="Times New Roman"/>
          <w:i/>
          <w:sz w:val="20"/>
          <w:szCs w:val="20"/>
        </w:rPr>
        <w:t>A</w:t>
      </w:r>
      <w:r w:rsidRPr="00314E4C">
        <w:rPr>
          <w:rFonts w:ascii="Times New Roman" w:hAnsi="Times New Roman" w:cs="Times New Roman"/>
          <w:sz w:val="20"/>
          <w:szCs w:val="20"/>
        </w:rPr>
        <w:t xml:space="preserve"> is the electrode surface area (cm</w:t>
      </w:r>
      <w:r w:rsidRPr="00314E4C">
        <w:rPr>
          <w:rFonts w:ascii="Times New Roman" w:hAnsi="Times New Roman" w:cs="Times New Roman"/>
          <w:sz w:val="20"/>
          <w:szCs w:val="20"/>
          <w:vertAlign w:val="superscript"/>
        </w:rPr>
        <w:t>2</w:t>
      </w:r>
      <w:r w:rsidRPr="00314E4C">
        <w:rPr>
          <w:rFonts w:ascii="Times New Roman" w:hAnsi="Times New Roman" w:cs="Times New Roman"/>
          <w:sz w:val="20"/>
          <w:szCs w:val="20"/>
        </w:rPr>
        <w:t xml:space="preserve">), </w:t>
      </w:r>
      <w:r w:rsidRPr="00314E4C">
        <w:rPr>
          <w:rFonts w:ascii="Times New Roman" w:hAnsi="Times New Roman" w:cs="Times New Roman"/>
          <w:i/>
          <w:sz w:val="20"/>
          <w:szCs w:val="20"/>
        </w:rPr>
        <w:t>C</w:t>
      </w:r>
      <w:r w:rsidRPr="00314E4C">
        <w:rPr>
          <w:rFonts w:ascii="Times New Roman" w:hAnsi="Times New Roman" w:cs="Times New Roman"/>
          <w:sz w:val="20"/>
          <w:szCs w:val="20"/>
        </w:rPr>
        <w:t xml:space="preserve"> is the PNP concentration (mol cm</w:t>
      </w:r>
      <w:r w:rsidRPr="00314E4C">
        <w:rPr>
          <w:rFonts w:ascii="Times New Roman" w:hAnsi="Times New Roman" w:cs="Times New Roman"/>
          <w:sz w:val="20"/>
          <w:szCs w:val="20"/>
          <w:vertAlign w:val="superscript"/>
        </w:rPr>
        <w:t>-3</w:t>
      </w:r>
      <w:r w:rsidRPr="00314E4C">
        <w:rPr>
          <w:rFonts w:ascii="Times New Roman" w:hAnsi="Times New Roman" w:cs="Times New Roman"/>
          <w:sz w:val="20"/>
          <w:szCs w:val="20"/>
        </w:rPr>
        <w:t xml:space="preserve">), </w:t>
      </w:r>
      <w:r w:rsidRPr="00314E4C">
        <w:rPr>
          <w:rFonts w:ascii="Times New Roman" w:hAnsi="Times New Roman" w:cs="Times New Roman"/>
          <w:i/>
          <w:sz w:val="20"/>
          <w:szCs w:val="20"/>
        </w:rPr>
        <w:t>D</w:t>
      </w:r>
      <w:r w:rsidRPr="00314E4C">
        <w:rPr>
          <w:rFonts w:ascii="Times New Roman" w:hAnsi="Times New Roman" w:cs="Times New Roman"/>
          <w:sz w:val="20"/>
          <w:szCs w:val="20"/>
        </w:rPr>
        <w:t xml:space="preserve"> is the PNP diffusion coefficient (9.19x10</w:t>
      </w:r>
      <w:r w:rsidRPr="00314E4C">
        <w:rPr>
          <w:rFonts w:ascii="Times New Roman" w:hAnsi="Times New Roman" w:cs="Times New Roman"/>
          <w:sz w:val="20"/>
          <w:szCs w:val="20"/>
          <w:vertAlign w:val="superscript"/>
        </w:rPr>
        <w:t>-6</w:t>
      </w:r>
      <w:r w:rsidRPr="00314E4C">
        <w:rPr>
          <w:rFonts w:ascii="Times New Roman" w:hAnsi="Times New Roman" w:cs="Times New Roman"/>
          <w:sz w:val="20"/>
          <w:szCs w:val="20"/>
        </w:rPr>
        <w:t xml:space="preserve"> cm</w:t>
      </w:r>
      <w:r w:rsidRPr="00314E4C">
        <w:rPr>
          <w:rFonts w:ascii="Times New Roman" w:hAnsi="Times New Roman" w:cs="Times New Roman"/>
          <w:sz w:val="20"/>
          <w:szCs w:val="20"/>
          <w:vertAlign w:val="superscript"/>
        </w:rPr>
        <w:t>2</w:t>
      </w:r>
      <w:r w:rsidRPr="00314E4C">
        <w:rPr>
          <w:rFonts w:ascii="Times New Roman" w:hAnsi="Times New Roman" w:cs="Times New Roman"/>
          <w:sz w:val="20"/>
          <w:szCs w:val="20"/>
        </w:rPr>
        <w:t xml:space="preserve"> s</w:t>
      </w:r>
      <w:r w:rsidRPr="00314E4C">
        <w:rPr>
          <w:rFonts w:ascii="Times New Roman" w:hAnsi="Times New Roman" w:cs="Times New Roman"/>
          <w:sz w:val="20"/>
          <w:szCs w:val="20"/>
          <w:vertAlign w:val="superscript"/>
        </w:rPr>
        <w:t>-1</w:t>
      </w:r>
      <w:r w:rsidR="007862EB">
        <w:rPr>
          <w:rFonts w:ascii="Times New Roman" w:hAnsi="Times New Roman" w:cs="Times New Roman"/>
          <w:sz w:val="20"/>
          <w:szCs w:val="20"/>
        </w:rPr>
        <w:t>)</w:t>
      </w:r>
      <w:r w:rsidR="007D305A">
        <w:rPr>
          <w:rFonts w:ascii="Times New Roman" w:hAnsi="Times New Roman" w:cs="Times New Roman"/>
          <w:sz w:val="20"/>
          <w:szCs w:val="20"/>
        </w:rPr>
        <w:t xml:space="preserve"> [</w:t>
      </w:r>
      <w:r w:rsidR="002535BA">
        <w:rPr>
          <w:rFonts w:ascii="Times New Roman" w:hAnsi="Times New Roman" w:cs="Times New Roman"/>
          <w:sz w:val="20"/>
          <w:szCs w:val="20"/>
        </w:rPr>
        <w:t>22</w:t>
      </w:r>
      <w:r w:rsidR="007D305A">
        <w:rPr>
          <w:rFonts w:ascii="Times New Roman" w:hAnsi="Times New Roman" w:cs="Times New Roman"/>
          <w:sz w:val="20"/>
          <w:szCs w:val="20"/>
        </w:rPr>
        <w:t>]</w:t>
      </w:r>
      <w:r w:rsidR="000D612F" w:rsidRPr="00314E4C">
        <w:rPr>
          <w:rFonts w:ascii="Times New Roman" w:hAnsi="Times New Roman" w:cs="Times New Roman"/>
          <w:sz w:val="20"/>
          <w:szCs w:val="20"/>
        </w:rPr>
        <w:t xml:space="preserve">, </w:t>
      </w:r>
      <w:r w:rsidRPr="00314E4C">
        <w:rPr>
          <w:rFonts w:ascii="Times New Roman" w:hAnsi="Times New Roman" w:cs="Times New Roman"/>
          <w:sz w:val="20"/>
          <w:szCs w:val="20"/>
        </w:rPr>
        <w:t xml:space="preserve">and </w:t>
      </w:r>
      <w:r w:rsidRPr="00314E4C">
        <w:rPr>
          <w:rFonts w:ascii="Times New Roman" w:hAnsi="Times New Roman" w:cs="Times New Roman"/>
          <w:i/>
          <w:sz w:val="20"/>
          <w:szCs w:val="20"/>
        </w:rPr>
        <w:t>t</w:t>
      </w:r>
      <w:r w:rsidRPr="00314E4C">
        <w:rPr>
          <w:rFonts w:ascii="Times New Roman" w:hAnsi="Times New Roman" w:cs="Times New Roman"/>
          <w:sz w:val="20"/>
          <w:szCs w:val="20"/>
        </w:rPr>
        <w:t xml:space="preserve"> is the time elapsed (s).</w:t>
      </w:r>
    </w:p>
    <w:p w14:paraId="504809E7" w14:textId="1FE66FDE" w:rsidR="00724270" w:rsidRPr="00314E4C" w:rsidRDefault="00353F61" w:rsidP="00724270">
      <w:pPr>
        <w:pStyle w:val="NoSpacing"/>
        <w:ind w:firstLine="426"/>
        <w:jc w:val="both"/>
        <w:rPr>
          <w:rFonts w:ascii="Times New Roman" w:hAnsi="Times New Roman" w:cs="Times New Roman"/>
          <w:sz w:val="20"/>
          <w:szCs w:val="20"/>
        </w:rPr>
      </w:pPr>
      <w:r w:rsidRPr="00314E4C">
        <w:rPr>
          <w:rFonts w:ascii="Times New Roman" w:hAnsi="Times New Roman" w:cs="Times New Roman"/>
          <w:sz w:val="20"/>
          <w:szCs w:val="20"/>
        </w:rPr>
        <w:t>The catalytic rate constant</w:t>
      </w:r>
      <w:r w:rsidR="00724270" w:rsidRPr="00314E4C">
        <w:rPr>
          <w:rFonts w:ascii="Times New Roman" w:hAnsi="Times New Roman" w:cs="Times New Roman"/>
          <w:sz w:val="20"/>
          <w:szCs w:val="20"/>
        </w:rPr>
        <w:t xml:space="preserve"> </w:t>
      </w:r>
      <w:r w:rsidR="006D18E5" w:rsidRPr="00314E4C">
        <w:rPr>
          <w:rFonts w:ascii="Times New Roman" w:hAnsi="Times New Roman" w:cs="Times New Roman"/>
          <w:sz w:val="20"/>
          <w:szCs w:val="20"/>
        </w:rPr>
        <w:t xml:space="preserve">value was derived from </w:t>
      </w:r>
      <w:r w:rsidR="00724270" w:rsidRPr="00314E4C">
        <w:rPr>
          <w:rFonts w:ascii="Times New Roman" w:hAnsi="Times New Roman" w:cs="Times New Roman"/>
          <w:sz w:val="20"/>
          <w:szCs w:val="20"/>
        </w:rPr>
        <w:t xml:space="preserve">the slope of the </w:t>
      </w:r>
      <w:r w:rsidR="00724270" w:rsidRPr="00314E4C">
        <w:rPr>
          <w:rFonts w:ascii="Times New Roman" w:hAnsi="Times New Roman" w:cs="Times New Roman"/>
          <w:i/>
          <w:sz w:val="20"/>
          <w:szCs w:val="20"/>
        </w:rPr>
        <w:t>I</w:t>
      </w:r>
      <w:r w:rsidR="00724270" w:rsidRPr="00314E4C">
        <w:rPr>
          <w:rFonts w:ascii="Times New Roman" w:hAnsi="Times New Roman" w:cs="Times New Roman"/>
          <w:sz w:val="20"/>
          <w:szCs w:val="20"/>
          <w:vertAlign w:val="subscript"/>
        </w:rPr>
        <w:t>C</w:t>
      </w:r>
      <w:r w:rsidR="00724270" w:rsidRPr="00314E4C">
        <w:rPr>
          <w:rFonts w:ascii="Times New Roman" w:hAnsi="Times New Roman" w:cs="Times New Roman"/>
          <w:sz w:val="20"/>
          <w:szCs w:val="20"/>
        </w:rPr>
        <w:t>/</w:t>
      </w:r>
      <w:r w:rsidR="00724270" w:rsidRPr="00314E4C">
        <w:rPr>
          <w:rFonts w:ascii="Times New Roman" w:hAnsi="Times New Roman" w:cs="Times New Roman"/>
          <w:i/>
          <w:sz w:val="20"/>
          <w:szCs w:val="20"/>
        </w:rPr>
        <w:t>I</w:t>
      </w:r>
      <w:r w:rsidR="00724270" w:rsidRPr="00314E4C">
        <w:rPr>
          <w:rFonts w:ascii="Times New Roman" w:hAnsi="Times New Roman" w:cs="Times New Roman"/>
          <w:sz w:val="20"/>
          <w:szCs w:val="20"/>
          <w:vertAlign w:val="subscript"/>
        </w:rPr>
        <w:t>L</w:t>
      </w:r>
      <w:r w:rsidR="00724270" w:rsidRPr="00314E4C">
        <w:rPr>
          <w:rFonts w:ascii="Times New Roman" w:hAnsi="Times New Roman" w:cs="Times New Roman"/>
          <w:sz w:val="20"/>
          <w:szCs w:val="20"/>
        </w:rPr>
        <w:t xml:space="preserve"> vs. </w:t>
      </w:r>
      <w:r w:rsidR="00724270" w:rsidRPr="00314E4C">
        <w:rPr>
          <w:rFonts w:ascii="Times New Roman" w:hAnsi="Times New Roman" w:cs="Times New Roman"/>
          <w:i/>
          <w:sz w:val="20"/>
          <w:szCs w:val="20"/>
        </w:rPr>
        <w:t>t</w:t>
      </w:r>
      <w:r w:rsidR="00724270" w:rsidRPr="00314E4C">
        <w:rPr>
          <w:rFonts w:ascii="Times New Roman" w:hAnsi="Times New Roman" w:cs="Times New Roman"/>
          <w:sz w:val="20"/>
          <w:szCs w:val="20"/>
          <w:vertAlign w:val="superscript"/>
        </w:rPr>
        <w:t>1/2</w:t>
      </w:r>
      <w:r w:rsidR="0001516D" w:rsidRPr="00314E4C">
        <w:rPr>
          <w:rFonts w:ascii="Times New Roman" w:hAnsi="Times New Roman" w:cs="Times New Roman"/>
          <w:sz w:val="20"/>
          <w:szCs w:val="20"/>
        </w:rPr>
        <w:t xml:space="preserve"> plot</w:t>
      </w:r>
      <w:r w:rsidR="00724270" w:rsidRPr="00314E4C">
        <w:rPr>
          <w:rFonts w:ascii="Times New Roman" w:hAnsi="Times New Roman" w:cs="Times New Roman"/>
          <w:sz w:val="20"/>
          <w:szCs w:val="20"/>
        </w:rPr>
        <w:t>, described by the following equation:</w:t>
      </w:r>
    </w:p>
    <w:p w14:paraId="504809E9" w14:textId="77777777" w:rsidR="00724270" w:rsidRPr="00314E4C" w:rsidRDefault="00724270" w:rsidP="00A84467">
      <w:pPr>
        <w:pStyle w:val="NoSpacing"/>
        <w:jc w:val="right"/>
        <w:rPr>
          <w:rFonts w:ascii="Times New Roman" w:hAnsi="Times New Roman" w:cs="Times New Roman"/>
          <w:sz w:val="20"/>
          <w:szCs w:val="20"/>
        </w:rPr>
      </w:pPr>
      <w:r w:rsidRPr="00314E4C">
        <w:rPr>
          <w:rFonts w:ascii="Times New Roman" w:hAnsi="Times New Roman" w:cs="Times New Roman"/>
          <w:i/>
          <w:sz w:val="20"/>
          <w:szCs w:val="20"/>
        </w:rPr>
        <w:t>I</w:t>
      </w:r>
      <w:r w:rsidRPr="00314E4C">
        <w:rPr>
          <w:rFonts w:ascii="Times New Roman" w:hAnsi="Times New Roman" w:cs="Times New Roman"/>
          <w:sz w:val="20"/>
          <w:szCs w:val="20"/>
          <w:vertAlign w:val="subscript"/>
        </w:rPr>
        <w:t>C</w:t>
      </w:r>
      <w:r w:rsidRPr="00314E4C">
        <w:rPr>
          <w:rFonts w:ascii="Times New Roman" w:hAnsi="Times New Roman" w:cs="Times New Roman"/>
          <w:sz w:val="20"/>
          <w:szCs w:val="20"/>
        </w:rPr>
        <w:t>/</w:t>
      </w:r>
      <w:r w:rsidRPr="00314E4C">
        <w:rPr>
          <w:rFonts w:ascii="Times New Roman" w:hAnsi="Times New Roman" w:cs="Times New Roman"/>
          <w:i/>
          <w:sz w:val="20"/>
          <w:szCs w:val="20"/>
        </w:rPr>
        <w:t>I</w:t>
      </w:r>
      <w:r w:rsidRPr="00314E4C">
        <w:rPr>
          <w:rFonts w:ascii="Times New Roman" w:hAnsi="Times New Roman" w:cs="Times New Roman"/>
          <w:sz w:val="20"/>
          <w:szCs w:val="20"/>
          <w:vertAlign w:val="subscript"/>
        </w:rPr>
        <w:t>L</w:t>
      </w:r>
      <w:r w:rsidRPr="00314E4C">
        <w:rPr>
          <w:rFonts w:ascii="Times New Roman" w:hAnsi="Times New Roman" w:cs="Times New Roman"/>
          <w:sz w:val="20"/>
          <w:szCs w:val="20"/>
        </w:rPr>
        <w:t xml:space="preserve"> = (</w:t>
      </w:r>
      <w:r w:rsidR="006D18E5" w:rsidRPr="00314E4C">
        <w:rPr>
          <w:rFonts w:ascii="Times New Roman" w:hAnsi="Times New Roman" w:cs="Times New Roman"/>
          <w:sz w:val="20"/>
          <w:szCs w:val="20"/>
        </w:rPr>
        <w:sym w:font="Symbol" w:char="F070"/>
      </w:r>
      <w:proofErr w:type="spellStart"/>
      <w:r w:rsidRPr="00314E4C">
        <w:rPr>
          <w:rFonts w:ascii="Times New Roman" w:hAnsi="Times New Roman" w:cs="Times New Roman"/>
          <w:i/>
          <w:sz w:val="20"/>
          <w:szCs w:val="20"/>
        </w:rPr>
        <w:t>k</w:t>
      </w:r>
      <w:r w:rsidRPr="00314E4C">
        <w:rPr>
          <w:rFonts w:ascii="Times New Roman" w:hAnsi="Times New Roman" w:cs="Times New Roman"/>
          <w:sz w:val="20"/>
          <w:szCs w:val="20"/>
          <w:vertAlign w:val="subscript"/>
        </w:rPr>
        <w:t>h</w:t>
      </w:r>
      <w:r w:rsidRPr="00314E4C">
        <w:rPr>
          <w:rFonts w:ascii="Times New Roman" w:hAnsi="Times New Roman" w:cs="Times New Roman"/>
          <w:i/>
          <w:sz w:val="20"/>
          <w:szCs w:val="20"/>
        </w:rPr>
        <w:t>Ct</w:t>
      </w:r>
      <w:proofErr w:type="spellEnd"/>
      <w:r w:rsidRPr="00314E4C">
        <w:rPr>
          <w:rFonts w:ascii="Times New Roman" w:hAnsi="Times New Roman" w:cs="Times New Roman"/>
          <w:sz w:val="20"/>
          <w:szCs w:val="20"/>
        </w:rPr>
        <w:t>)</w:t>
      </w:r>
      <w:r w:rsidRPr="00314E4C">
        <w:rPr>
          <w:rFonts w:ascii="Times New Roman" w:hAnsi="Times New Roman" w:cs="Times New Roman"/>
          <w:sz w:val="20"/>
          <w:szCs w:val="20"/>
          <w:vertAlign w:val="superscript"/>
        </w:rPr>
        <w:t>1/2</w:t>
      </w:r>
      <w:r w:rsidR="00A84467" w:rsidRPr="00314E4C">
        <w:rPr>
          <w:rFonts w:ascii="Times New Roman" w:hAnsi="Times New Roman" w:cs="Times New Roman"/>
          <w:sz w:val="20"/>
          <w:szCs w:val="20"/>
        </w:rPr>
        <w:t xml:space="preserve">                                                                          (3)</w:t>
      </w:r>
    </w:p>
    <w:p w14:paraId="504809EA" w14:textId="77777777" w:rsidR="00724270" w:rsidRPr="00314E4C" w:rsidRDefault="00724270" w:rsidP="00724270">
      <w:pPr>
        <w:pStyle w:val="NoSpacing"/>
        <w:jc w:val="both"/>
        <w:rPr>
          <w:rFonts w:ascii="Times New Roman" w:hAnsi="Times New Roman" w:cs="Times New Roman"/>
          <w:sz w:val="20"/>
          <w:szCs w:val="20"/>
        </w:rPr>
      </w:pPr>
    </w:p>
    <w:p w14:paraId="504809EC" w14:textId="7C73A00B" w:rsidR="00984A9E" w:rsidRPr="00314E4C" w:rsidRDefault="00724270" w:rsidP="00D22269">
      <w:pPr>
        <w:pStyle w:val="NoSpacing"/>
        <w:jc w:val="both"/>
        <w:rPr>
          <w:rFonts w:ascii="Times New Roman" w:hAnsi="Times New Roman" w:cs="Times New Roman"/>
          <w:sz w:val="20"/>
          <w:szCs w:val="20"/>
        </w:rPr>
      </w:pPr>
      <w:r w:rsidRPr="00314E4C">
        <w:rPr>
          <w:rFonts w:ascii="Times New Roman" w:hAnsi="Times New Roman" w:cs="Times New Roman"/>
          <w:sz w:val="20"/>
          <w:szCs w:val="20"/>
        </w:rPr>
        <w:t xml:space="preserve">where </w:t>
      </w:r>
      <w:r w:rsidRPr="00314E4C">
        <w:rPr>
          <w:rFonts w:ascii="Times New Roman" w:hAnsi="Times New Roman" w:cs="Times New Roman"/>
          <w:i/>
          <w:sz w:val="20"/>
          <w:szCs w:val="20"/>
        </w:rPr>
        <w:t>I</w:t>
      </w:r>
      <w:r w:rsidRPr="00314E4C">
        <w:rPr>
          <w:rFonts w:ascii="Times New Roman" w:hAnsi="Times New Roman" w:cs="Times New Roman"/>
          <w:sz w:val="20"/>
          <w:szCs w:val="20"/>
          <w:vertAlign w:val="subscript"/>
        </w:rPr>
        <w:t>C</w:t>
      </w:r>
      <w:r w:rsidRPr="00314E4C">
        <w:rPr>
          <w:rFonts w:ascii="Times New Roman" w:hAnsi="Times New Roman" w:cs="Times New Roman"/>
          <w:sz w:val="20"/>
          <w:szCs w:val="20"/>
        </w:rPr>
        <w:t xml:space="preserve"> is the catalytic current of PNP </w:t>
      </w:r>
      <w:r w:rsidR="001C3369" w:rsidRPr="00314E4C">
        <w:rPr>
          <w:rFonts w:ascii="Times New Roman" w:hAnsi="Times New Roman" w:cs="Times New Roman"/>
          <w:sz w:val="20"/>
          <w:szCs w:val="20"/>
        </w:rPr>
        <w:t>reduction</w:t>
      </w:r>
      <w:r w:rsidR="00DE79F0" w:rsidRPr="00314E4C">
        <w:rPr>
          <w:rFonts w:ascii="Times New Roman" w:hAnsi="Times New Roman" w:cs="Times New Roman"/>
          <w:sz w:val="20"/>
          <w:szCs w:val="20"/>
        </w:rPr>
        <w:t xml:space="preserve"> at the modified electrode</w:t>
      </w:r>
      <w:r w:rsidRPr="00314E4C">
        <w:rPr>
          <w:rFonts w:ascii="Times New Roman" w:hAnsi="Times New Roman" w:cs="Times New Roman"/>
          <w:sz w:val="20"/>
          <w:szCs w:val="20"/>
        </w:rPr>
        <w:t xml:space="preserve"> (A), </w:t>
      </w:r>
      <w:r w:rsidRPr="00314E4C">
        <w:rPr>
          <w:rFonts w:ascii="Times New Roman" w:hAnsi="Times New Roman" w:cs="Times New Roman"/>
          <w:i/>
          <w:sz w:val="20"/>
          <w:szCs w:val="20"/>
        </w:rPr>
        <w:t>I</w:t>
      </w:r>
      <w:r w:rsidRPr="00314E4C">
        <w:rPr>
          <w:rFonts w:ascii="Times New Roman" w:hAnsi="Times New Roman" w:cs="Times New Roman"/>
          <w:sz w:val="20"/>
          <w:szCs w:val="20"/>
          <w:vertAlign w:val="subscript"/>
        </w:rPr>
        <w:t>L</w:t>
      </w:r>
      <w:r w:rsidRPr="00314E4C">
        <w:rPr>
          <w:rFonts w:ascii="Times New Roman" w:hAnsi="Times New Roman" w:cs="Times New Roman"/>
          <w:sz w:val="20"/>
          <w:szCs w:val="20"/>
        </w:rPr>
        <w:t xml:space="preserve"> is the limiting current in the absence of PNP (A), </w:t>
      </w:r>
      <w:r w:rsidRPr="00314E4C">
        <w:rPr>
          <w:rFonts w:ascii="Times New Roman" w:hAnsi="Times New Roman" w:cs="Times New Roman"/>
          <w:i/>
          <w:sz w:val="20"/>
          <w:szCs w:val="20"/>
        </w:rPr>
        <w:t>k</w:t>
      </w:r>
      <w:r w:rsidRPr="00314E4C">
        <w:rPr>
          <w:rFonts w:ascii="Times New Roman" w:hAnsi="Times New Roman" w:cs="Times New Roman"/>
          <w:sz w:val="20"/>
          <w:szCs w:val="20"/>
          <w:vertAlign w:val="subscript"/>
        </w:rPr>
        <w:t>h</w:t>
      </w:r>
      <w:r w:rsidRPr="00314E4C">
        <w:rPr>
          <w:rFonts w:ascii="Times New Roman" w:hAnsi="Times New Roman" w:cs="Times New Roman"/>
          <w:sz w:val="20"/>
          <w:szCs w:val="20"/>
        </w:rPr>
        <w:t xml:space="preserve"> is the catalytic rate constant (L mol</w:t>
      </w:r>
      <w:r w:rsidRPr="00314E4C">
        <w:rPr>
          <w:rFonts w:ascii="Times New Roman" w:hAnsi="Times New Roman" w:cs="Times New Roman"/>
          <w:sz w:val="20"/>
          <w:szCs w:val="20"/>
          <w:vertAlign w:val="superscript"/>
        </w:rPr>
        <w:t>-1</w:t>
      </w:r>
      <w:r w:rsidRPr="00314E4C">
        <w:rPr>
          <w:rFonts w:ascii="Times New Roman" w:hAnsi="Times New Roman" w:cs="Times New Roman"/>
          <w:sz w:val="20"/>
          <w:szCs w:val="20"/>
        </w:rPr>
        <w:t xml:space="preserve"> s</w:t>
      </w:r>
      <w:r w:rsidRPr="00314E4C">
        <w:rPr>
          <w:rFonts w:ascii="Times New Roman" w:hAnsi="Times New Roman" w:cs="Times New Roman"/>
          <w:sz w:val="20"/>
          <w:szCs w:val="20"/>
          <w:vertAlign w:val="superscript"/>
        </w:rPr>
        <w:t>-1</w:t>
      </w:r>
      <w:r w:rsidRPr="00314E4C">
        <w:rPr>
          <w:rFonts w:ascii="Times New Roman" w:hAnsi="Times New Roman" w:cs="Times New Roman"/>
          <w:sz w:val="20"/>
          <w:szCs w:val="20"/>
        </w:rPr>
        <w:t xml:space="preserve">), </w:t>
      </w:r>
      <w:r w:rsidRPr="00314E4C">
        <w:rPr>
          <w:rFonts w:ascii="Times New Roman" w:hAnsi="Times New Roman" w:cs="Times New Roman"/>
          <w:i/>
          <w:sz w:val="20"/>
          <w:szCs w:val="20"/>
        </w:rPr>
        <w:t>C</w:t>
      </w:r>
      <w:r w:rsidRPr="00314E4C">
        <w:rPr>
          <w:rFonts w:ascii="Times New Roman" w:hAnsi="Times New Roman" w:cs="Times New Roman"/>
          <w:sz w:val="20"/>
          <w:szCs w:val="20"/>
        </w:rPr>
        <w:t xml:space="preserve"> is the PNP concentration (mol L</w:t>
      </w:r>
      <w:r w:rsidRPr="00314E4C">
        <w:rPr>
          <w:rFonts w:ascii="Times New Roman" w:hAnsi="Times New Roman" w:cs="Times New Roman"/>
          <w:sz w:val="20"/>
          <w:szCs w:val="20"/>
          <w:vertAlign w:val="superscript"/>
        </w:rPr>
        <w:t>-1</w:t>
      </w:r>
      <w:r w:rsidRPr="00314E4C">
        <w:rPr>
          <w:rFonts w:ascii="Times New Roman" w:hAnsi="Times New Roman" w:cs="Times New Roman"/>
          <w:sz w:val="20"/>
          <w:szCs w:val="20"/>
        </w:rPr>
        <w:t xml:space="preserve">), and </w:t>
      </w:r>
      <w:r w:rsidRPr="00314E4C">
        <w:rPr>
          <w:rFonts w:ascii="Times New Roman" w:hAnsi="Times New Roman" w:cs="Times New Roman"/>
          <w:i/>
          <w:sz w:val="20"/>
          <w:szCs w:val="20"/>
        </w:rPr>
        <w:t>t</w:t>
      </w:r>
      <w:r w:rsidRPr="00314E4C">
        <w:rPr>
          <w:rFonts w:ascii="Times New Roman" w:hAnsi="Times New Roman" w:cs="Times New Roman"/>
          <w:sz w:val="20"/>
          <w:szCs w:val="20"/>
        </w:rPr>
        <w:t xml:space="preserve"> is the time elapsed (s).</w:t>
      </w:r>
    </w:p>
    <w:p w14:paraId="504809EF" w14:textId="77777777" w:rsidR="00353F61" w:rsidRPr="00314E4C" w:rsidRDefault="00150927" w:rsidP="00737F37">
      <w:pPr>
        <w:pStyle w:val="NoSpacing"/>
        <w:ind w:firstLine="426"/>
        <w:jc w:val="both"/>
        <w:rPr>
          <w:rFonts w:ascii="Times New Roman" w:hAnsi="Times New Roman" w:cs="Times New Roman"/>
          <w:sz w:val="20"/>
          <w:szCs w:val="20"/>
        </w:rPr>
      </w:pPr>
      <w:r w:rsidRPr="00314E4C">
        <w:rPr>
          <w:rFonts w:ascii="Times New Roman" w:hAnsi="Times New Roman" w:cs="Times New Roman"/>
          <w:sz w:val="20"/>
          <w:szCs w:val="20"/>
        </w:rPr>
        <w:t>For comparison, t</w:t>
      </w:r>
      <w:r w:rsidR="000F2027" w:rsidRPr="00314E4C">
        <w:rPr>
          <w:rFonts w:ascii="Times New Roman" w:hAnsi="Times New Roman" w:cs="Times New Roman"/>
          <w:sz w:val="20"/>
          <w:szCs w:val="20"/>
        </w:rPr>
        <w:t xml:space="preserve">he same approach was applied for the electrochemical characterization of the bare GCE, as well as of the Bi/GCE and Gr/GCE. </w:t>
      </w:r>
      <w:r w:rsidR="00EB62D5" w:rsidRPr="00314E4C">
        <w:rPr>
          <w:rFonts w:ascii="Times New Roman" w:hAnsi="Times New Roman" w:cs="Times New Roman"/>
          <w:sz w:val="20"/>
          <w:szCs w:val="20"/>
        </w:rPr>
        <w:t>The o</w:t>
      </w:r>
      <w:r w:rsidR="000F2027" w:rsidRPr="00314E4C">
        <w:rPr>
          <w:rFonts w:ascii="Times New Roman" w:hAnsi="Times New Roman" w:cs="Times New Roman"/>
          <w:sz w:val="20"/>
          <w:szCs w:val="20"/>
        </w:rPr>
        <w:t>bta</w:t>
      </w:r>
      <w:r w:rsidR="00734845" w:rsidRPr="00314E4C">
        <w:rPr>
          <w:rFonts w:ascii="Times New Roman" w:hAnsi="Times New Roman" w:cs="Times New Roman"/>
          <w:sz w:val="20"/>
          <w:szCs w:val="20"/>
        </w:rPr>
        <w:t xml:space="preserve">ined </w:t>
      </w:r>
      <w:r w:rsidR="00B37730" w:rsidRPr="00314E4C">
        <w:rPr>
          <w:rFonts w:ascii="Times New Roman" w:hAnsi="Times New Roman" w:cs="Times New Roman"/>
          <w:sz w:val="20"/>
          <w:szCs w:val="20"/>
        </w:rPr>
        <w:t>results</w:t>
      </w:r>
      <w:r w:rsidR="00734845" w:rsidRPr="00314E4C">
        <w:rPr>
          <w:rFonts w:ascii="Times New Roman" w:hAnsi="Times New Roman" w:cs="Times New Roman"/>
          <w:sz w:val="20"/>
          <w:szCs w:val="20"/>
        </w:rPr>
        <w:t xml:space="preserve"> are presented in Table</w:t>
      </w:r>
      <w:r w:rsidR="000F2027" w:rsidRPr="00314E4C">
        <w:rPr>
          <w:rFonts w:ascii="Times New Roman" w:hAnsi="Times New Roman" w:cs="Times New Roman"/>
          <w:sz w:val="20"/>
          <w:szCs w:val="20"/>
        </w:rPr>
        <w:t xml:space="preserve"> 1.</w:t>
      </w:r>
    </w:p>
    <w:p w14:paraId="504809F0" w14:textId="77777777" w:rsidR="00476CD6" w:rsidRPr="00314E4C" w:rsidRDefault="00476CD6" w:rsidP="00541F4F">
      <w:pPr>
        <w:pStyle w:val="NoSpacing"/>
        <w:jc w:val="both"/>
        <w:rPr>
          <w:rFonts w:ascii="Times New Roman" w:hAnsi="Times New Roman" w:cs="Times New Roman"/>
          <w:sz w:val="20"/>
          <w:szCs w:val="20"/>
        </w:rPr>
      </w:pPr>
    </w:p>
    <w:p w14:paraId="504809F1" w14:textId="47D19950" w:rsidR="005F171A" w:rsidRPr="00314E4C" w:rsidRDefault="006C613A" w:rsidP="005F171A">
      <w:pPr>
        <w:pStyle w:val="NoSpacing"/>
        <w:jc w:val="both"/>
        <w:rPr>
          <w:rFonts w:ascii="Times New Roman" w:hAnsi="Times New Roman" w:cs="Times New Roman"/>
          <w:sz w:val="20"/>
          <w:szCs w:val="20"/>
        </w:rPr>
      </w:pPr>
      <w:r w:rsidRPr="00314E4C">
        <w:rPr>
          <w:rFonts w:ascii="Times New Roman" w:hAnsi="Times New Roman" w:cs="Times New Roman"/>
          <w:b/>
          <w:sz w:val="20"/>
          <w:szCs w:val="20"/>
        </w:rPr>
        <w:t>Table 1</w:t>
      </w:r>
      <w:r w:rsidRPr="00314E4C">
        <w:rPr>
          <w:rFonts w:ascii="Times New Roman" w:hAnsi="Times New Roman" w:cs="Times New Roman"/>
          <w:sz w:val="20"/>
          <w:szCs w:val="20"/>
        </w:rPr>
        <w:t xml:space="preserve"> </w:t>
      </w:r>
      <w:r w:rsidR="005F171A" w:rsidRPr="00314E4C">
        <w:rPr>
          <w:rFonts w:ascii="Times New Roman" w:hAnsi="Times New Roman" w:cs="Times New Roman"/>
          <w:sz w:val="20"/>
          <w:szCs w:val="20"/>
        </w:rPr>
        <w:t>Values of the electroactive surface areas of the bare and modified GCEs and of the catalytic rate constants of the PNP reduction at bare and modified GCEs.</w:t>
      </w:r>
    </w:p>
    <w:p w14:paraId="504809F2" w14:textId="77777777" w:rsidR="005F171A" w:rsidRPr="00314E4C" w:rsidRDefault="005F171A" w:rsidP="005F171A">
      <w:pPr>
        <w:pStyle w:val="RSCB06BHeadingSub-Section"/>
        <w:jc w:val="both"/>
        <w:rPr>
          <w:b w:val="0"/>
          <w:lang w:val="en-US"/>
        </w:rPr>
      </w:pPr>
    </w:p>
    <w:tbl>
      <w:tblPr>
        <w:tblW w:w="5000" w:type="pct"/>
        <w:jc w:val="center"/>
        <w:tblBorders>
          <w:top w:val="single" w:sz="4" w:space="0" w:color="7F7F7F"/>
          <w:bottom w:val="single" w:sz="4" w:space="0" w:color="7F7F7F"/>
        </w:tblBorders>
        <w:tblLook w:val="06A0" w:firstRow="1" w:lastRow="0" w:firstColumn="1" w:lastColumn="0" w:noHBand="1" w:noVBand="1"/>
      </w:tblPr>
      <w:tblGrid>
        <w:gridCol w:w="2290"/>
        <w:gridCol w:w="2555"/>
        <w:gridCol w:w="4515"/>
      </w:tblGrid>
      <w:tr w:rsidR="005F171A" w:rsidRPr="00314E4C" w14:paraId="504809F6" w14:textId="77777777" w:rsidTr="005F171A">
        <w:trPr>
          <w:jc w:val="center"/>
        </w:trPr>
        <w:tc>
          <w:tcPr>
            <w:tcW w:w="1223" w:type="pct"/>
            <w:tcBorders>
              <w:bottom w:val="single" w:sz="4" w:space="0" w:color="7F7F7F"/>
            </w:tcBorders>
            <w:shd w:val="clear" w:color="auto" w:fill="auto"/>
          </w:tcPr>
          <w:p w14:paraId="504809F3" w14:textId="77777777" w:rsidR="005F171A" w:rsidRPr="00314E4C" w:rsidRDefault="005F171A" w:rsidP="001B3FDF">
            <w:pPr>
              <w:pStyle w:val="NoSpacing"/>
              <w:rPr>
                <w:rFonts w:ascii="Times New Roman" w:hAnsi="Times New Roman" w:cs="Times New Roman"/>
                <w:bCs/>
                <w:sz w:val="20"/>
                <w:szCs w:val="20"/>
              </w:rPr>
            </w:pPr>
            <w:r w:rsidRPr="00314E4C">
              <w:rPr>
                <w:rFonts w:ascii="Times New Roman" w:hAnsi="Times New Roman" w:cs="Times New Roman"/>
                <w:bCs/>
                <w:sz w:val="20"/>
                <w:szCs w:val="20"/>
              </w:rPr>
              <w:t>Electrode</w:t>
            </w:r>
          </w:p>
        </w:tc>
        <w:tc>
          <w:tcPr>
            <w:tcW w:w="1365" w:type="pct"/>
            <w:tcBorders>
              <w:bottom w:val="single" w:sz="4" w:space="0" w:color="7F7F7F"/>
            </w:tcBorders>
            <w:shd w:val="clear" w:color="auto" w:fill="auto"/>
          </w:tcPr>
          <w:p w14:paraId="504809F4" w14:textId="77777777" w:rsidR="005F171A" w:rsidRPr="00314E4C" w:rsidRDefault="005F171A" w:rsidP="005F171A">
            <w:pPr>
              <w:pStyle w:val="NoSpacing"/>
              <w:jc w:val="center"/>
              <w:rPr>
                <w:rFonts w:ascii="Times New Roman" w:hAnsi="Times New Roman" w:cs="Times New Roman"/>
                <w:bCs/>
                <w:sz w:val="20"/>
                <w:szCs w:val="20"/>
              </w:rPr>
            </w:pPr>
            <w:r w:rsidRPr="00314E4C">
              <w:rPr>
                <w:rFonts w:ascii="Times New Roman" w:hAnsi="Times New Roman" w:cs="Times New Roman"/>
                <w:bCs/>
                <w:sz w:val="20"/>
                <w:szCs w:val="20"/>
              </w:rPr>
              <w:t>Active area, mm</w:t>
            </w:r>
            <w:r w:rsidRPr="00314E4C">
              <w:rPr>
                <w:rFonts w:ascii="Times New Roman" w:hAnsi="Times New Roman" w:cs="Times New Roman"/>
                <w:bCs/>
                <w:sz w:val="20"/>
                <w:szCs w:val="20"/>
                <w:vertAlign w:val="superscript"/>
              </w:rPr>
              <w:t>2</w:t>
            </w:r>
          </w:p>
        </w:tc>
        <w:tc>
          <w:tcPr>
            <w:tcW w:w="2412" w:type="pct"/>
            <w:tcBorders>
              <w:bottom w:val="single" w:sz="4" w:space="0" w:color="7F7F7F"/>
            </w:tcBorders>
            <w:shd w:val="clear" w:color="auto" w:fill="auto"/>
          </w:tcPr>
          <w:p w14:paraId="504809F5" w14:textId="77777777" w:rsidR="005F171A" w:rsidRPr="00314E4C" w:rsidRDefault="005F171A" w:rsidP="005F171A">
            <w:pPr>
              <w:pStyle w:val="NoSpacing"/>
              <w:jc w:val="center"/>
              <w:rPr>
                <w:rFonts w:ascii="Times New Roman" w:hAnsi="Times New Roman" w:cs="Times New Roman"/>
                <w:bCs/>
                <w:sz w:val="20"/>
                <w:szCs w:val="20"/>
              </w:rPr>
            </w:pPr>
            <w:r w:rsidRPr="00314E4C">
              <w:rPr>
                <w:rFonts w:ascii="Times New Roman" w:hAnsi="Times New Roman" w:cs="Times New Roman"/>
                <w:bCs/>
                <w:sz w:val="20"/>
                <w:szCs w:val="20"/>
              </w:rPr>
              <w:t>Catalytic rate constant, L mol</w:t>
            </w:r>
            <w:r w:rsidRPr="00314E4C">
              <w:rPr>
                <w:rFonts w:ascii="Times New Roman" w:hAnsi="Times New Roman" w:cs="Times New Roman"/>
                <w:bCs/>
                <w:sz w:val="20"/>
                <w:szCs w:val="20"/>
                <w:vertAlign w:val="superscript"/>
              </w:rPr>
              <w:t>-1</w:t>
            </w:r>
            <w:r w:rsidRPr="00314E4C">
              <w:rPr>
                <w:rFonts w:ascii="Times New Roman" w:hAnsi="Times New Roman" w:cs="Times New Roman"/>
                <w:bCs/>
                <w:sz w:val="20"/>
                <w:szCs w:val="20"/>
              </w:rPr>
              <w:t xml:space="preserve"> s</w:t>
            </w:r>
            <w:r w:rsidRPr="00314E4C">
              <w:rPr>
                <w:rFonts w:ascii="Times New Roman" w:hAnsi="Times New Roman" w:cs="Times New Roman"/>
                <w:bCs/>
                <w:sz w:val="20"/>
                <w:szCs w:val="20"/>
                <w:vertAlign w:val="superscript"/>
              </w:rPr>
              <w:t>-1</w:t>
            </w:r>
          </w:p>
        </w:tc>
      </w:tr>
      <w:tr w:rsidR="005F171A" w:rsidRPr="00314E4C" w14:paraId="504809FA" w14:textId="77777777" w:rsidTr="005F171A">
        <w:trPr>
          <w:jc w:val="center"/>
        </w:trPr>
        <w:tc>
          <w:tcPr>
            <w:tcW w:w="1223" w:type="pct"/>
            <w:shd w:val="clear" w:color="auto" w:fill="auto"/>
          </w:tcPr>
          <w:p w14:paraId="504809F7" w14:textId="77777777" w:rsidR="005F171A" w:rsidRPr="00314E4C" w:rsidRDefault="005F171A" w:rsidP="001B3FDF">
            <w:pPr>
              <w:pStyle w:val="NoSpacing"/>
              <w:jc w:val="both"/>
              <w:rPr>
                <w:rFonts w:ascii="Times New Roman" w:hAnsi="Times New Roman" w:cs="Times New Roman"/>
                <w:bCs/>
                <w:sz w:val="20"/>
                <w:szCs w:val="20"/>
              </w:rPr>
            </w:pPr>
            <w:r w:rsidRPr="00314E4C">
              <w:rPr>
                <w:rFonts w:ascii="Times New Roman" w:hAnsi="Times New Roman" w:cs="Times New Roman"/>
                <w:bCs/>
                <w:sz w:val="20"/>
                <w:szCs w:val="20"/>
              </w:rPr>
              <w:t>Bare GCE</w:t>
            </w:r>
          </w:p>
        </w:tc>
        <w:tc>
          <w:tcPr>
            <w:tcW w:w="1365" w:type="pct"/>
            <w:shd w:val="clear" w:color="auto" w:fill="auto"/>
          </w:tcPr>
          <w:p w14:paraId="504809F8" w14:textId="77777777" w:rsidR="005F171A" w:rsidRPr="00314E4C" w:rsidRDefault="00D27948" w:rsidP="001B3FDF">
            <w:pPr>
              <w:pStyle w:val="NoSpacing"/>
              <w:jc w:val="center"/>
              <w:rPr>
                <w:rFonts w:ascii="Times New Roman" w:hAnsi="Times New Roman" w:cs="Times New Roman"/>
                <w:sz w:val="20"/>
                <w:szCs w:val="20"/>
              </w:rPr>
            </w:pPr>
            <w:r w:rsidRPr="00314E4C">
              <w:rPr>
                <w:rFonts w:ascii="Times New Roman" w:hAnsi="Times New Roman" w:cs="Times New Roman"/>
                <w:sz w:val="20"/>
                <w:szCs w:val="20"/>
              </w:rPr>
              <w:t>21.72</w:t>
            </w:r>
          </w:p>
        </w:tc>
        <w:tc>
          <w:tcPr>
            <w:tcW w:w="2412" w:type="pct"/>
            <w:shd w:val="clear" w:color="auto" w:fill="auto"/>
          </w:tcPr>
          <w:p w14:paraId="504809F9" w14:textId="77777777" w:rsidR="005F171A" w:rsidRPr="00314E4C" w:rsidRDefault="00D27948" w:rsidP="001B3FDF">
            <w:pPr>
              <w:pStyle w:val="NoSpacing"/>
              <w:jc w:val="center"/>
              <w:rPr>
                <w:rFonts w:ascii="Times New Roman" w:hAnsi="Times New Roman" w:cs="Times New Roman"/>
                <w:sz w:val="20"/>
                <w:szCs w:val="20"/>
              </w:rPr>
            </w:pPr>
            <w:r w:rsidRPr="00314E4C">
              <w:rPr>
                <w:rFonts w:ascii="Times New Roman" w:hAnsi="Times New Roman" w:cs="Times New Roman"/>
                <w:sz w:val="20"/>
                <w:szCs w:val="20"/>
              </w:rPr>
              <w:t>2.94</w:t>
            </w:r>
            <w:r w:rsidR="005F171A" w:rsidRPr="00314E4C">
              <w:rPr>
                <w:rFonts w:ascii="Times New Roman" w:hAnsi="Times New Roman" w:cs="Times New Roman"/>
                <w:sz w:val="20"/>
                <w:szCs w:val="20"/>
              </w:rPr>
              <w:t>x10</w:t>
            </w:r>
            <w:r w:rsidR="005F171A" w:rsidRPr="00314E4C">
              <w:rPr>
                <w:rFonts w:ascii="Times New Roman" w:hAnsi="Times New Roman" w:cs="Times New Roman"/>
                <w:sz w:val="20"/>
                <w:szCs w:val="20"/>
                <w:vertAlign w:val="superscript"/>
              </w:rPr>
              <w:t>3</w:t>
            </w:r>
          </w:p>
        </w:tc>
      </w:tr>
      <w:tr w:rsidR="005F171A" w:rsidRPr="00314E4C" w14:paraId="504809FE" w14:textId="77777777" w:rsidTr="005F171A">
        <w:trPr>
          <w:jc w:val="center"/>
        </w:trPr>
        <w:tc>
          <w:tcPr>
            <w:tcW w:w="1223" w:type="pct"/>
            <w:shd w:val="clear" w:color="auto" w:fill="auto"/>
          </w:tcPr>
          <w:p w14:paraId="504809FB" w14:textId="77777777" w:rsidR="005F171A" w:rsidRPr="00314E4C" w:rsidRDefault="005F171A" w:rsidP="001B3FDF">
            <w:pPr>
              <w:pStyle w:val="NoSpacing"/>
              <w:jc w:val="both"/>
              <w:rPr>
                <w:rFonts w:ascii="Times New Roman" w:hAnsi="Times New Roman" w:cs="Times New Roman"/>
                <w:bCs/>
                <w:sz w:val="20"/>
                <w:szCs w:val="20"/>
              </w:rPr>
            </w:pPr>
            <w:r w:rsidRPr="00314E4C">
              <w:rPr>
                <w:rFonts w:ascii="Times New Roman" w:hAnsi="Times New Roman" w:cs="Times New Roman"/>
                <w:bCs/>
                <w:sz w:val="20"/>
                <w:szCs w:val="20"/>
              </w:rPr>
              <w:t>Bi/GCE</w:t>
            </w:r>
          </w:p>
        </w:tc>
        <w:tc>
          <w:tcPr>
            <w:tcW w:w="1365" w:type="pct"/>
            <w:shd w:val="clear" w:color="auto" w:fill="auto"/>
          </w:tcPr>
          <w:p w14:paraId="504809FC" w14:textId="77777777" w:rsidR="005F171A" w:rsidRPr="00314E4C" w:rsidRDefault="00D27948" w:rsidP="001B3FDF">
            <w:pPr>
              <w:pStyle w:val="NoSpacing"/>
              <w:jc w:val="center"/>
              <w:rPr>
                <w:rFonts w:ascii="Times New Roman" w:hAnsi="Times New Roman" w:cs="Times New Roman"/>
                <w:sz w:val="20"/>
                <w:szCs w:val="20"/>
              </w:rPr>
            </w:pPr>
            <w:r w:rsidRPr="00314E4C">
              <w:rPr>
                <w:rFonts w:ascii="Times New Roman" w:hAnsi="Times New Roman" w:cs="Times New Roman"/>
                <w:sz w:val="20"/>
                <w:szCs w:val="20"/>
              </w:rPr>
              <w:t>21.83</w:t>
            </w:r>
          </w:p>
        </w:tc>
        <w:tc>
          <w:tcPr>
            <w:tcW w:w="2412" w:type="pct"/>
            <w:shd w:val="clear" w:color="auto" w:fill="auto"/>
          </w:tcPr>
          <w:p w14:paraId="504809FD" w14:textId="77777777" w:rsidR="005F171A" w:rsidRPr="00314E4C" w:rsidRDefault="00D27948" w:rsidP="001B3FDF">
            <w:pPr>
              <w:pStyle w:val="NoSpacing"/>
              <w:jc w:val="center"/>
              <w:rPr>
                <w:rFonts w:ascii="Times New Roman" w:hAnsi="Times New Roman" w:cs="Times New Roman"/>
                <w:sz w:val="20"/>
                <w:szCs w:val="20"/>
              </w:rPr>
            </w:pPr>
            <w:r w:rsidRPr="00314E4C">
              <w:rPr>
                <w:rFonts w:ascii="Times New Roman" w:hAnsi="Times New Roman" w:cs="Times New Roman"/>
                <w:sz w:val="20"/>
                <w:szCs w:val="20"/>
              </w:rPr>
              <w:t>3.29</w:t>
            </w:r>
            <w:r w:rsidR="005F171A" w:rsidRPr="00314E4C">
              <w:rPr>
                <w:rFonts w:ascii="Times New Roman" w:hAnsi="Times New Roman" w:cs="Times New Roman"/>
                <w:sz w:val="20"/>
                <w:szCs w:val="20"/>
              </w:rPr>
              <w:t>x10</w:t>
            </w:r>
            <w:r w:rsidR="005F171A" w:rsidRPr="00314E4C">
              <w:rPr>
                <w:rFonts w:ascii="Times New Roman" w:hAnsi="Times New Roman" w:cs="Times New Roman"/>
                <w:sz w:val="20"/>
                <w:szCs w:val="20"/>
                <w:vertAlign w:val="superscript"/>
              </w:rPr>
              <w:t>3</w:t>
            </w:r>
          </w:p>
        </w:tc>
      </w:tr>
      <w:tr w:rsidR="005F171A" w:rsidRPr="00314E4C" w14:paraId="50480A02" w14:textId="77777777" w:rsidTr="005F171A">
        <w:trPr>
          <w:jc w:val="center"/>
        </w:trPr>
        <w:tc>
          <w:tcPr>
            <w:tcW w:w="1223" w:type="pct"/>
            <w:shd w:val="clear" w:color="auto" w:fill="auto"/>
          </w:tcPr>
          <w:p w14:paraId="504809FF" w14:textId="77777777" w:rsidR="005F171A" w:rsidRPr="00314E4C" w:rsidRDefault="005F171A" w:rsidP="001B3FDF">
            <w:pPr>
              <w:pStyle w:val="NoSpacing"/>
              <w:jc w:val="both"/>
              <w:rPr>
                <w:rFonts w:ascii="Times New Roman" w:hAnsi="Times New Roman" w:cs="Times New Roman"/>
                <w:bCs/>
                <w:sz w:val="20"/>
                <w:szCs w:val="20"/>
              </w:rPr>
            </w:pPr>
            <w:r w:rsidRPr="00314E4C">
              <w:rPr>
                <w:rFonts w:ascii="Times New Roman" w:hAnsi="Times New Roman" w:cs="Times New Roman"/>
                <w:bCs/>
                <w:sz w:val="20"/>
                <w:szCs w:val="20"/>
              </w:rPr>
              <w:t>Gr/GCE</w:t>
            </w:r>
          </w:p>
        </w:tc>
        <w:tc>
          <w:tcPr>
            <w:tcW w:w="1365" w:type="pct"/>
            <w:shd w:val="clear" w:color="auto" w:fill="auto"/>
          </w:tcPr>
          <w:p w14:paraId="50480A00" w14:textId="77777777" w:rsidR="005F171A" w:rsidRPr="00314E4C" w:rsidRDefault="00D27948" w:rsidP="001B3FDF">
            <w:pPr>
              <w:pStyle w:val="NoSpacing"/>
              <w:jc w:val="center"/>
              <w:rPr>
                <w:rFonts w:ascii="Times New Roman" w:hAnsi="Times New Roman" w:cs="Times New Roman"/>
                <w:sz w:val="20"/>
                <w:szCs w:val="20"/>
              </w:rPr>
            </w:pPr>
            <w:r w:rsidRPr="00314E4C">
              <w:rPr>
                <w:rFonts w:ascii="Times New Roman" w:hAnsi="Times New Roman" w:cs="Times New Roman"/>
                <w:sz w:val="20"/>
                <w:szCs w:val="20"/>
              </w:rPr>
              <w:t>27.93</w:t>
            </w:r>
          </w:p>
        </w:tc>
        <w:tc>
          <w:tcPr>
            <w:tcW w:w="2412" w:type="pct"/>
            <w:shd w:val="clear" w:color="auto" w:fill="auto"/>
          </w:tcPr>
          <w:p w14:paraId="50480A01" w14:textId="77777777" w:rsidR="005F171A" w:rsidRPr="00314E4C" w:rsidRDefault="00567981" w:rsidP="001B3FDF">
            <w:pPr>
              <w:pStyle w:val="NoSpacing"/>
              <w:jc w:val="center"/>
              <w:rPr>
                <w:rFonts w:ascii="Times New Roman" w:hAnsi="Times New Roman" w:cs="Times New Roman"/>
                <w:sz w:val="20"/>
                <w:szCs w:val="20"/>
              </w:rPr>
            </w:pPr>
            <w:r w:rsidRPr="00314E4C">
              <w:rPr>
                <w:rFonts w:ascii="Times New Roman" w:hAnsi="Times New Roman" w:cs="Times New Roman"/>
                <w:sz w:val="20"/>
                <w:szCs w:val="20"/>
              </w:rPr>
              <w:t>3.51</w:t>
            </w:r>
            <w:r w:rsidR="005F171A" w:rsidRPr="00314E4C">
              <w:rPr>
                <w:rFonts w:ascii="Times New Roman" w:hAnsi="Times New Roman" w:cs="Times New Roman"/>
                <w:sz w:val="20"/>
                <w:szCs w:val="20"/>
              </w:rPr>
              <w:t>x10</w:t>
            </w:r>
            <w:r w:rsidR="005F171A" w:rsidRPr="00314E4C">
              <w:rPr>
                <w:rFonts w:ascii="Times New Roman" w:hAnsi="Times New Roman" w:cs="Times New Roman"/>
                <w:sz w:val="20"/>
                <w:szCs w:val="20"/>
                <w:vertAlign w:val="superscript"/>
              </w:rPr>
              <w:t>3</w:t>
            </w:r>
          </w:p>
        </w:tc>
      </w:tr>
      <w:tr w:rsidR="005F171A" w:rsidRPr="00314E4C" w14:paraId="50480A06" w14:textId="77777777" w:rsidTr="005F171A">
        <w:trPr>
          <w:jc w:val="center"/>
        </w:trPr>
        <w:tc>
          <w:tcPr>
            <w:tcW w:w="1223" w:type="pct"/>
            <w:shd w:val="clear" w:color="auto" w:fill="auto"/>
          </w:tcPr>
          <w:p w14:paraId="50480A03" w14:textId="77777777" w:rsidR="005F171A" w:rsidRPr="00314E4C" w:rsidRDefault="005F171A" w:rsidP="001B3FDF">
            <w:pPr>
              <w:pStyle w:val="NoSpacing"/>
              <w:jc w:val="both"/>
              <w:rPr>
                <w:rFonts w:ascii="Times New Roman" w:hAnsi="Times New Roman" w:cs="Times New Roman"/>
                <w:bCs/>
                <w:sz w:val="20"/>
                <w:szCs w:val="20"/>
              </w:rPr>
            </w:pPr>
            <w:r w:rsidRPr="00314E4C">
              <w:rPr>
                <w:rFonts w:ascii="Times New Roman" w:hAnsi="Times New Roman" w:cs="Times New Roman"/>
                <w:bCs/>
                <w:sz w:val="20"/>
                <w:szCs w:val="20"/>
              </w:rPr>
              <w:t>Bi/Gr/GCE</w:t>
            </w:r>
          </w:p>
        </w:tc>
        <w:tc>
          <w:tcPr>
            <w:tcW w:w="1365" w:type="pct"/>
            <w:shd w:val="clear" w:color="auto" w:fill="auto"/>
          </w:tcPr>
          <w:p w14:paraId="50480A04" w14:textId="77777777" w:rsidR="005F171A" w:rsidRPr="00314E4C" w:rsidRDefault="00454F8A" w:rsidP="001B3FDF">
            <w:pPr>
              <w:pStyle w:val="NoSpacing"/>
              <w:jc w:val="center"/>
              <w:rPr>
                <w:rFonts w:ascii="Times New Roman" w:hAnsi="Times New Roman" w:cs="Times New Roman"/>
                <w:sz w:val="20"/>
                <w:szCs w:val="20"/>
              </w:rPr>
            </w:pPr>
            <w:r w:rsidRPr="00314E4C">
              <w:rPr>
                <w:rFonts w:ascii="Times New Roman" w:hAnsi="Times New Roman" w:cs="Times New Roman"/>
                <w:sz w:val="20"/>
                <w:szCs w:val="20"/>
              </w:rPr>
              <w:t>27.71</w:t>
            </w:r>
          </w:p>
        </w:tc>
        <w:tc>
          <w:tcPr>
            <w:tcW w:w="2412" w:type="pct"/>
            <w:shd w:val="clear" w:color="auto" w:fill="auto"/>
          </w:tcPr>
          <w:p w14:paraId="50480A05" w14:textId="77777777" w:rsidR="005F171A" w:rsidRPr="00314E4C" w:rsidRDefault="00D27948" w:rsidP="001B3FDF">
            <w:pPr>
              <w:pStyle w:val="NoSpacing"/>
              <w:jc w:val="center"/>
              <w:rPr>
                <w:rFonts w:ascii="Times New Roman" w:hAnsi="Times New Roman" w:cs="Times New Roman"/>
                <w:sz w:val="20"/>
                <w:szCs w:val="20"/>
              </w:rPr>
            </w:pPr>
            <w:r w:rsidRPr="00314E4C">
              <w:rPr>
                <w:rFonts w:ascii="Times New Roman" w:hAnsi="Times New Roman" w:cs="Times New Roman"/>
                <w:sz w:val="20"/>
                <w:szCs w:val="20"/>
              </w:rPr>
              <w:t>4.14</w:t>
            </w:r>
            <w:r w:rsidR="005F171A" w:rsidRPr="00314E4C">
              <w:rPr>
                <w:rFonts w:ascii="Times New Roman" w:hAnsi="Times New Roman" w:cs="Times New Roman"/>
                <w:sz w:val="20"/>
                <w:szCs w:val="20"/>
              </w:rPr>
              <w:t>x10</w:t>
            </w:r>
            <w:r w:rsidR="005F171A" w:rsidRPr="00314E4C">
              <w:rPr>
                <w:rFonts w:ascii="Times New Roman" w:hAnsi="Times New Roman" w:cs="Times New Roman"/>
                <w:sz w:val="20"/>
                <w:szCs w:val="20"/>
                <w:vertAlign w:val="superscript"/>
              </w:rPr>
              <w:t>3</w:t>
            </w:r>
          </w:p>
        </w:tc>
      </w:tr>
    </w:tbl>
    <w:p w14:paraId="50480A07" w14:textId="77777777" w:rsidR="005F171A" w:rsidRPr="00314E4C" w:rsidRDefault="005F171A" w:rsidP="00541F4F">
      <w:pPr>
        <w:pStyle w:val="NoSpacing"/>
        <w:jc w:val="both"/>
        <w:rPr>
          <w:rFonts w:ascii="Times New Roman" w:hAnsi="Times New Roman" w:cs="Times New Roman"/>
          <w:sz w:val="20"/>
          <w:szCs w:val="20"/>
        </w:rPr>
      </w:pPr>
    </w:p>
    <w:p w14:paraId="50480A08" w14:textId="77777777" w:rsidR="0053456B" w:rsidRPr="00314E4C" w:rsidRDefault="004A2F42" w:rsidP="0053456B">
      <w:pPr>
        <w:pStyle w:val="NoSpacing"/>
        <w:ind w:firstLine="426"/>
        <w:jc w:val="both"/>
        <w:rPr>
          <w:rFonts w:ascii="Times New Roman" w:hAnsi="Times New Roman" w:cs="Times New Roman"/>
          <w:sz w:val="20"/>
          <w:szCs w:val="20"/>
        </w:rPr>
      </w:pPr>
      <w:r w:rsidRPr="00314E4C">
        <w:rPr>
          <w:rFonts w:ascii="Times New Roman" w:hAnsi="Times New Roman" w:cs="Times New Roman"/>
          <w:sz w:val="20"/>
          <w:szCs w:val="20"/>
        </w:rPr>
        <w:t xml:space="preserve">As shown in Table 1, the active </w:t>
      </w:r>
      <w:r w:rsidR="00EB62D5" w:rsidRPr="00314E4C">
        <w:rPr>
          <w:rFonts w:ascii="Times New Roman" w:hAnsi="Times New Roman" w:cs="Times New Roman"/>
          <w:sz w:val="20"/>
          <w:szCs w:val="20"/>
        </w:rPr>
        <w:t xml:space="preserve">surface areas of the GCE and </w:t>
      </w:r>
      <w:r w:rsidRPr="00314E4C">
        <w:rPr>
          <w:rFonts w:ascii="Times New Roman" w:hAnsi="Times New Roman" w:cs="Times New Roman"/>
          <w:sz w:val="20"/>
          <w:szCs w:val="20"/>
        </w:rPr>
        <w:t xml:space="preserve">the Bi/GCE do not differ considerably, as well as the active surface areas of the Gr/GCE and the Bi/Gr/GCE. These data </w:t>
      </w:r>
      <w:r w:rsidR="003B0CB6" w:rsidRPr="00314E4C">
        <w:rPr>
          <w:rFonts w:ascii="Times New Roman" w:hAnsi="Times New Roman" w:cs="Times New Roman"/>
          <w:sz w:val="20"/>
          <w:szCs w:val="20"/>
        </w:rPr>
        <w:t>reveal</w:t>
      </w:r>
      <w:r w:rsidRPr="00314E4C">
        <w:rPr>
          <w:rFonts w:ascii="Times New Roman" w:hAnsi="Times New Roman" w:cs="Times New Roman"/>
          <w:sz w:val="20"/>
          <w:szCs w:val="20"/>
        </w:rPr>
        <w:t xml:space="preserve"> that the increase of the active surface area is mostly due to the graphite nanopowder modification of the GCE. </w:t>
      </w:r>
      <w:r w:rsidR="00AB56DD" w:rsidRPr="00314E4C">
        <w:rPr>
          <w:rFonts w:ascii="Times New Roman" w:hAnsi="Times New Roman" w:cs="Times New Roman"/>
          <w:sz w:val="20"/>
          <w:szCs w:val="20"/>
        </w:rPr>
        <w:t xml:space="preserve">From the other hand, the comparison of the values of the catalytic rate constants </w:t>
      </w:r>
      <w:r w:rsidR="003B0CB6" w:rsidRPr="00314E4C">
        <w:rPr>
          <w:rFonts w:ascii="Times New Roman" w:hAnsi="Times New Roman" w:cs="Times New Roman"/>
          <w:sz w:val="20"/>
          <w:szCs w:val="20"/>
        </w:rPr>
        <w:t xml:space="preserve">demonstrates that the </w:t>
      </w:r>
      <w:r w:rsidR="00C27922" w:rsidRPr="00314E4C">
        <w:rPr>
          <w:rFonts w:ascii="Times New Roman" w:hAnsi="Times New Roman" w:cs="Times New Roman"/>
          <w:sz w:val="20"/>
          <w:szCs w:val="20"/>
        </w:rPr>
        <w:t xml:space="preserve">electrodes modification with a Bi film </w:t>
      </w:r>
      <w:r w:rsidR="003B0CB6" w:rsidRPr="00314E4C">
        <w:rPr>
          <w:rFonts w:ascii="Times New Roman" w:hAnsi="Times New Roman" w:cs="Times New Roman"/>
          <w:sz w:val="20"/>
          <w:szCs w:val="20"/>
        </w:rPr>
        <w:t xml:space="preserve">contributes to the enhancement of </w:t>
      </w:r>
      <w:r w:rsidR="00C27922" w:rsidRPr="00314E4C">
        <w:rPr>
          <w:rFonts w:ascii="Times New Roman" w:hAnsi="Times New Roman" w:cs="Times New Roman"/>
          <w:sz w:val="20"/>
          <w:szCs w:val="20"/>
        </w:rPr>
        <w:t xml:space="preserve">their catalytic activity. </w:t>
      </w:r>
      <w:r w:rsidR="0053456B" w:rsidRPr="00314E4C">
        <w:rPr>
          <w:rFonts w:ascii="Times New Roman" w:hAnsi="Times New Roman" w:cs="Times New Roman"/>
          <w:sz w:val="20"/>
          <w:szCs w:val="20"/>
        </w:rPr>
        <w:t xml:space="preserve">Hence, the subsequent paraoxon determination was </w:t>
      </w:r>
      <w:r w:rsidR="001A36CD" w:rsidRPr="00314E4C">
        <w:rPr>
          <w:rFonts w:ascii="Times New Roman" w:hAnsi="Times New Roman" w:cs="Times New Roman"/>
          <w:sz w:val="20"/>
          <w:szCs w:val="20"/>
        </w:rPr>
        <w:t xml:space="preserve">performed </w:t>
      </w:r>
      <w:r w:rsidR="005D3C10" w:rsidRPr="00314E4C">
        <w:rPr>
          <w:rFonts w:ascii="Times New Roman" w:hAnsi="Times New Roman" w:cs="Times New Roman"/>
          <w:sz w:val="20"/>
          <w:szCs w:val="20"/>
        </w:rPr>
        <w:t>by using</w:t>
      </w:r>
      <w:r w:rsidR="001A36CD" w:rsidRPr="00314E4C">
        <w:rPr>
          <w:rFonts w:ascii="Times New Roman" w:hAnsi="Times New Roman" w:cs="Times New Roman"/>
          <w:sz w:val="20"/>
          <w:szCs w:val="20"/>
        </w:rPr>
        <w:t xml:space="preserve"> Bi/Gr/GCE</w:t>
      </w:r>
      <w:r w:rsidR="005D3C10" w:rsidRPr="00314E4C">
        <w:rPr>
          <w:rFonts w:ascii="Times New Roman" w:hAnsi="Times New Roman" w:cs="Times New Roman"/>
          <w:sz w:val="20"/>
          <w:szCs w:val="20"/>
        </w:rPr>
        <w:t xml:space="preserve"> only</w:t>
      </w:r>
      <w:r w:rsidR="001A36CD" w:rsidRPr="00314E4C">
        <w:rPr>
          <w:rFonts w:ascii="Times New Roman" w:hAnsi="Times New Roman" w:cs="Times New Roman"/>
          <w:sz w:val="20"/>
          <w:szCs w:val="20"/>
        </w:rPr>
        <w:t>, because of its increased surface area and enhanced catalytic activity.</w:t>
      </w:r>
    </w:p>
    <w:p w14:paraId="50480A09" w14:textId="77777777" w:rsidR="0053456B" w:rsidRPr="00314E4C" w:rsidRDefault="0053456B" w:rsidP="0053456B">
      <w:pPr>
        <w:pStyle w:val="NoSpacing"/>
        <w:jc w:val="both"/>
        <w:rPr>
          <w:rFonts w:ascii="Times New Roman" w:hAnsi="Times New Roman" w:cs="Times New Roman"/>
          <w:sz w:val="20"/>
          <w:szCs w:val="20"/>
        </w:rPr>
      </w:pPr>
    </w:p>
    <w:p w14:paraId="50480A0A" w14:textId="77777777" w:rsidR="0053456B" w:rsidRPr="00314E4C" w:rsidRDefault="001A36CD" w:rsidP="0053456B">
      <w:pPr>
        <w:pStyle w:val="NoSpacing"/>
        <w:jc w:val="both"/>
        <w:rPr>
          <w:rFonts w:ascii="Times New Roman" w:hAnsi="Times New Roman" w:cs="Times New Roman"/>
          <w:sz w:val="20"/>
          <w:szCs w:val="20"/>
        </w:rPr>
      </w:pPr>
      <w:r w:rsidRPr="00314E4C">
        <w:rPr>
          <w:rFonts w:ascii="Times New Roman" w:hAnsi="Times New Roman" w:cs="Times New Roman"/>
          <w:b/>
          <w:sz w:val="20"/>
          <w:szCs w:val="20"/>
        </w:rPr>
        <w:t xml:space="preserve">Morphological characterization of the </w:t>
      </w:r>
      <w:r w:rsidR="008A4463" w:rsidRPr="00314E4C">
        <w:rPr>
          <w:rFonts w:ascii="Times New Roman" w:hAnsi="Times New Roman" w:cs="Times New Roman"/>
          <w:b/>
          <w:sz w:val="20"/>
          <w:szCs w:val="20"/>
        </w:rPr>
        <w:t>Bi/Gr/GCE</w:t>
      </w:r>
    </w:p>
    <w:p w14:paraId="50480A0D" w14:textId="38EA80DE" w:rsidR="00F73050" w:rsidRDefault="008A4463" w:rsidP="00541F4F">
      <w:pPr>
        <w:pStyle w:val="NoSpacing"/>
        <w:jc w:val="both"/>
        <w:rPr>
          <w:rFonts w:ascii="Times New Roman" w:hAnsi="Times New Roman" w:cs="Times New Roman"/>
          <w:sz w:val="20"/>
          <w:szCs w:val="20"/>
        </w:rPr>
      </w:pPr>
      <w:r w:rsidRPr="00314E4C">
        <w:rPr>
          <w:rFonts w:ascii="Times New Roman" w:hAnsi="Times New Roman" w:cs="Times New Roman"/>
          <w:sz w:val="20"/>
          <w:szCs w:val="20"/>
        </w:rPr>
        <w:t>The morphology of the Bi/Gr/GCE was examined by SEM and was compared with the morphology o</w:t>
      </w:r>
      <w:r w:rsidR="000955FC">
        <w:rPr>
          <w:rFonts w:ascii="Times New Roman" w:hAnsi="Times New Roman" w:cs="Times New Roman"/>
          <w:sz w:val="20"/>
          <w:szCs w:val="20"/>
        </w:rPr>
        <w:t>f the Bi/GCE, as shown in Fig. 2</w:t>
      </w:r>
      <w:r w:rsidR="00F10FDF">
        <w:rPr>
          <w:rFonts w:ascii="Times New Roman" w:hAnsi="Times New Roman" w:cs="Times New Roman"/>
          <w:sz w:val="20"/>
          <w:szCs w:val="20"/>
        </w:rPr>
        <w:t>.</w:t>
      </w:r>
    </w:p>
    <w:p w14:paraId="17237FC9" w14:textId="77777777" w:rsidR="00F41F86" w:rsidRPr="00314E4C" w:rsidRDefault="00F41F86" w:rsidP="00541F4F">
      <w:pPr>
        <w:pStyle w:val="NoSpacing"/>
        <w:jc w:val="both"/>
        <w:rPr>
          <w:rFonts w:ascii="Times New Roman" w:hAnsi="Times New Roman" w:cs="Times New Roman"/>
          <w:sz w:val="20"/>
          <w:szCs w:val="20"/>
        </w:rPr>
      </w:pPr>
    </w:p>
    <w:p w14:paraId="50480A0E" w14:textId="77777777" w:rsidR="00F73050" w:rsidRPr="00314E4C" w:rsidRDefault="00496B43" w:rsidP="00496B43">
      <w:pPr>
        <w:pStyle w:val="NoSpacing"/>
        <w:jc w:val="center"/>
        <w:rPr>
          <w:rFonts w:ascii="Times New Roman" w:hAnsi="Times New Roman" w:cs="Times New Roman"/>
          <w:sz w:val="20"/>
          <w:szCs w:val="20"/>
        </w:rPr>
      </w:pPr>
      <w:r w:rsidRPr="00314E4C">
        <w:rPr>
          <w:rFonts w:ascii="Times New Roman" w:hAnsi="Times New Roman" w:cs="Times New Roman"/>
          <w:noProof/>
          <w:sz w:val="20"/>
          <w:szCs w:val="20"/>
        </w:rPr>
        <w:drawing>
          <wp:inline distT="0" distB="0" distL="0" distR="0" wp14:anchorId="50480A72" wp14:editId="39218F28">
            <wp:extent cx="5848350" cy="2221494"/>
            <wp:effectExtent l="0" t="0" r="0" b="762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52987" cy="2223255"/>
                    </a:xfrm>
                    <a:prstGeom prst="rect">
                      <a:avLst/>
                    </a:prstGeom>
                    <a:noFill/>
                    <a:ln>
                      <a:noFill/>
                    </a:ln>
                  </pic:spPr>
                </pic:pic>
              </a:graphicData>
            </a:graphic>
          </wp:inline>
        </w:drawing>
      </w:r>
    </w:p>
    <w:p w14:paraId="50480A0F" w14:textId="77777777" w:rsidR="00496B43" w:rsidRPr="00314E4C" w:rsidRDefault="00496B43" w:rsidP="00496B43">
      <w:pPr>
        <w:pStyle w:val="NoSpacing"/>
        <w:jc w:val="center"/>
        <w:rPr>
          <w:rFonts w:ascii="Times New Roman" w:hAnsi="Times New Roman" w:cs="Times New Roman"/>
          <w:sz w:val="20"/>
          <w:szCs w:val="20"/>
        </w:rPr>
      </w:pPr>
    </w:p>
    <w:p w14:paraId="50480A10" w14:textId="22083610" w:rsidR="00DB78BB" w:rsidRPr="00314E4C" w:rsidRDefault="000955FC" w:rsidP="00541F4F">
      <w:pPr>
        <w:pStyle w:val="NoSpacing"/>
        <w:jc w:val="both"/>
        <w:rPr>
          <w:rFonts w:ascii="Times New Roman" w:hAnsi="Times New Roman" w:cs="Times New Roman"/>
          <w:sz w:val="20"/>
          <w:szCs w:val="20"/>
        </w:rPr>
      </w:pPr>
      <w:r>
        <w:rPr>
          <w:rFonts w:ascii="Times New Roman" w:hAnsi="Times New Roman" w:cs="Times New Roman"/>
          <w:b/>
          <w:sz w:val="20"/>
          <w:szCs w:val="20"/>
        </w:rPr>
        <w:t>Fig. 2</w:t>
      </w:r>
      <w:r w:rsidR="006603D8" w:rsidRPr="00314E4C">
        <w:rPr>
          <w:rFonts w:ascii="Times New Roman" w:hAnsi="Times New Roman" w:cs="Times New Roman"/>
          <w:sz w:val="20"/>
          <w:szCs w:val="20"/>
        </w:rPr>
        <w:t xml:space="preserve"> SEM images of the </w:t>
      </w:r>
      <w:r w:rsidR="00B828F0" w:rsidRPr="00314E4C">
        <w:rPr>
          <w:rFonts w:ascii="Times New Roman" w:hAnsi="Times New Roman" w:cs="Times New Roman"/>
          <w:sz w:val="20"/>
          <w:szCs w:val="20"/>
        </w:rPr>
        <w:t>surface of the Bi/GCE (A) and Bi/Gr/GCE (B)</w:t>
      </w:r>
      <w:r w:rsidR="00063A34" w:rsidRPr="00314E4C">
        <w:rPr>
          <w:rFonts w:ascii="Times New Roman" w:hAnsi="Times New Roman" w:cs="Times New Roman"/>
          <w:sz w:val="20"/>
          <w:szCs w:val="20"/>
        </w:rPr>
        <w:t>. 1</w:t>
      </w:r>
      <w:r w:rsidR="006603D8" w:rsidRPr="00314E4C">
        <w:rPr>
          <w:rFonts w:ascii="Times New Roman" w:hAnsi="Times New Roman" w:cs="Times New Roman"/>
          <w:sz w:val="20"/>
          <w:szCs w:val="20"/>
        </w:rPr>
        <w:t xml:space="preserve">000X magnification, acceleration voltage 20.0 kV, and resolution </w:t>
      </w:r>
      <w:r w:rsidR="00063A34" w:rsidRPr="00314E4C">
        <w:rPr>
          <w:rFonts w:ascii="Times New Roman" w:hAnsi="Times New Roman" w:cs="Times New Roman"/>
          <w:sz w:val="20"/>
          <w:szCs w:val="20"/>
        </w:rPr>
        <w:t>10</w:t>
      </w:r>
      <w:r w:rsidR="006603D8" w:rsidRPr="00314E4C">
        <w:rPr>
          <w:rFonts w:ascii="Times New Roman" w:hAnsi="Times New Roman" w:cs="Times New Roman"/>
          <w:sz w:val="20"/>
          <w:szCs w:val="20"/>
        </w:rPr>
        <w:t xml:space="preserve"> µm.</w:t>
      </w:r>
    </w:p>
    <w:p w14:paraId="175EA42F" w14:textId="77777777" w:rsidR="00F10FDF" w:rsidRPr="00314E4C" w:rsidRDefault="00F10FDF" w:rsidP="00F10FDF">
      <w:pPr>
        <w:pStyle w:val="NoSpacing"/>
        <w:jc w:val="both"/>
        <w:rPr>
          <w:rFonts w:ascii="Times New Roman" w:hAnsi="Times New Roman" w:cs="Times New Roman"/>
          <w:sz w:val="20"/>
          <w:szCs w:val="20"/>
        </w:rPr>
      </w:pPr>
      <w:r w:rsidRPr="00314E4C">
        <w:rPr>
          <w:rFonts w:ascii="Times New Roman" w:hAnsi="Times New Roman" w:cs="Times New Roman"/>
          <w:sz w:val="20"/>
          <w:szCs w:val="20"/>
        </w:rPr>
        <w:lastRenderedPageBreak/>
        <w:t>The Bi film deposited onto the GCE displays a flat, smooth, and non-uniform surface. The GCE modification with graphite nanopowder resulted in the formation of a homogeneous rough structure, with regular distribution onto the electrode surface. As the SEM images evidence, the graphite nanoparticles immobilization causes morphological changes, which contribute to the increase of the active electrode surface area.</w:t>
      </w:r>
    </w:p>
    <w:p w14:paraId="51C90592" w14:textId="77777777" w:rsidR="00F10FDF" w:rsidRPr="00314E4C" w:rsidRDefault="00F10FDF" w:rsidP="00541F4F">
      <w:pPr>
        <w:pStyle w:val="NoSpacing"/>
        <w:jc w:val="both"/>
        <w:rPr>
          <w:rFonts w:ascii="Times New Roman" w:hAnsi="Times New Roman" w:cs="Times New Roman"/>
          <w:sz w:val="20"/>
          <w:szCs w:val="20"/>
        </w:rPr>
      </w:pPr>
    </w:p>
    <w:p w14:paraId="50480A12" w14:textId="77777777" w:rsidR="006603D8" w:rsidRPr="00314E4C" w:rsidRDefault="004B4FDC" w:rsidP="00541F4F">
      <w:pPr>
        <w:pStyle w:val="NoSpacing"/>
        <w:jc w:val="both"/>
        <w:rPr>
          <w:rFonts w:ascii="Times New Roman" w:hAnsi="Times New Roman" w:cs="Times New Roman"/>
          <w:b/>
          <w:sz w:val="20"/>
          <w:szCs w:val="20"/>
        </w:rPr>
      </w:pPr>
      <w:r w:rsidRPr="00314E4C">
        <w:rPr>
          <w:rFonts w:ascii="Times New Roman" w:hAnsi="Times New Roman" w:cs="Times New Roman"/>
          <w:b/>
          <w:sz w:val="20"/>
          <w:szCs w:val="20"/>
        </w:rPr>
        <w:t>Paraoxon e</w:t>
      </w:r>
      <w:r w:rsidR="00EC3536" w:rsidRPr="00314E4C">
        <w:rPr>
          <w:rFonts w:ascii="Times New Roman" w:hAnsi="Times New Roman" w:cs="Times New Roman"/>
          <w:b/>
          <w:sz w:val="20"/>
          <w:szCs w:val="20"/>
        </w:rPr>
        <w:t xml:space="preserve">lectrochemical </w:t>
      </w:r>
      <w:r w:rsidRPr="00314E4C">
        <w:rPr>
          <w:rFonts w:ascii="Times New Roman" w:hAnsi="Times New Roman" w:cs="Times New Roman"/>
          <w:b/>
          <w:sz w:val="20"/>
          <w:szCs w:val="20"/>
        </w:rPr>
        <w:t>behavior</w:t>
      </w:r>
    </w:p>
    <w:p w14:paraId="50480A14" w14:textId="490DFFA4" w:rsidR="006603D8" w:rsidRPr="00314E4C" w:rsidRDefault="004B4FDC" w:rsidP="00541F4F">
      <w:pPr>
        <w:pStyle w:val="NoSpacing"/>
        <w:jc w:val="both"/>
        <w:rPr>
          <w:rFonts w:ascii="Times New Roman" w:hAnsi="Times New Roman" w:cs="Times New Roman"/>
          <w:sz w:val="20"/>
          <w:szCs w:val="20"/>
        </w:rPr>
      </w:pPr>
      <w:r w:rsidRPr="00314E4C">
        <w:rPr>
          <w:rFonts w:ascii="Times New Roman" w:hAnsi="Times New Roman" w:cs="Times New Roman"/>
          <w:sz w:val="20"/>
          <w:szCs w:val="20"/>
        </w:rPr>
        <w:t xml:space="preserve">Cyclic voltammetry was applied to investigate the electrochemical behavior </w:t>
      </w:r>
      <w:r w:rsidR="0016420F" w:rsidRPr="00314E4C">
        <w:rPr>
          <w:rFonts w:ascii="Times New Roman" w:hAnsi="Times New Roman" w:cs="Times New Roman"/>
          <w:sz w:val="20"/>
          <w:szCs w:val="20"/>
        </w:rPr>
        <w:t>of paraoxon on Bi/Gr</w:t>
      </w:r>
      <w:r w:rsidRPr="00314E4C">
        <w:rPr>
          <w:rFonts w:ascii="Times New Roman" w:hAnsi="Times New Roman" w:cs="Times New Roman"/>
          <w:sz w:val="20"/>
          <w:szCs w:val="20"/>
        </w:rPr>
        <w:t xml:space="preserve">/GCE in comparison to its behavior on Gr/GCE, Bi/GCE, and bare </w:t>
      </w:r>
      <w:r w:rsidR="00531DFD" w:rsidRPr="00314E4C">
        <w:rPr>
          <w:rFonts w:ascii="Times New Roman" w:hAnsi="Times New Roman" w:cs="Times New Roman"/>
          <w:sz w:val="20"/>
          <w:szCs w:val="20"/>
        </w:rPr>
        <w:t>GCE in the potential range from -0.25 V to -0.90 V</w:t>
      </w:r>
      <w:r w:rsidR="004A69EF" w:rsidRPr="00314E4C">
        <w:rPr>
          <w:rFonts w:ascii="Times New Roman" w:hAnsi="Times New Roman" w:cs="Times New Roman"/>
          <w:sz w:val="20"/>
          <w:szCs w:val="20"/>
        </w:rPr>
        <w:t xml:space="preserve"> vs. Ag.AgCl</w:t>
      </w:r>
      <w:r w:rsidR="00531DFD" w:rsidRPr="00314E4C">
        <w:rPr>
          <w:rFonts w:ascii="Times New Roman" w:hAnsi="Times New Roman" w:cs="Times New Roman"/>
          <w:sz w:val="20"/>
          <w:szCs w:val="20"/>
        </w:rPr>
        <w:t>/KCl</w:t>
      </w:r>
      <w:r w:rsidR="00531DFD" w:rsidRPr="00314E4C">
        <w:rPr>
          <w:rFonts w:ascii="Times New Roman" w:hAnsi="Times New Roman" w:cs="Times New Roman"/>
          <w:sz w:val="20"/>
          <w:szCs w:val="20"/>
          <w:vertAlign w:val="subscript"/>
        </w:rPr>
        <w:t>sat</w:t>
      </w:r>
      <w:r w:rsidR="00531DFD" w:rsidRPr="00314E4C">
        <w:rPr>
          <w:rFonts w:ascii="Times New Roman" w:hAnsi="Times New Roman" w:cs="Times New Roman"/>
          <w:sz w:val="20"/>
          <w:szCs w:val="20"/>
        </w:rPr>
        <w:t>. The v</w:t>
      </w:r>
      <w:r w:rsidR="000955FC">
        <w:rPr>
          <w:rFonts w:ascii="Times New Roman" w:hAnsi="Times New Roman" w:cs="Times New Roman"/>
          <w:sz w:val="20"/>
          <w:szCs w:val="20"/>
        </w:rPr>
        <w:t>oltammograms presented in Fig. 3</w:t>
      </w:r>
      <w:r w:rsidR="00531DFD" w:rsidRPr="00314E4C">
        <w:rPr>
          <w:rFonts w:ascii="Times New Roman" w:hAnsi="Times New Roman" w:cs="Times New Roman"/>
          <w:sz w:val="20"/>
          <w:szCs w:val="20"/>
        </w:rPr>
        <w:t xml:space="preserve"> allow considering, that it is </w:t>
      </w:r>
      <w:r w:rsidR="00531DFD" w:rsidRPr="006C734F">
        <w:rPr>
          <w:rFonts w:ascii="Times New Roman" w:hAnsi="Times New Roman" w:cs="Times New Roman"/>
          <w:sz w:val="20"/>
          <w:szCs w:val="20"/>
        </w:rPr>
        <w:t xml:space="preserve">identical and </w:t>
      </w:r>
      <w:r w:rsidR="006358EB" w:rsidRPr="006C734F">
        <w:rPr>
          <w:rFonts w:ascii="Times New Roman" w:hAnsi="Times New Roman" w:cs="Times New Roman"/>
          <w:sz w:val="20"/>
          <w:szCs w:val="20"/>
        </w:rPr>
        <w:t>they can</w:t>
      </w:r>
      <w:r w:rsidR="00531DFD" w:rsidRPr="006C734F">
        <w:rPr>
          <w:rFonts w:ascii="Times New Roman" w:hAnsi="Times New Roman" w:cs="Times New Roman"/>
          <w:sz w:val="20"/>
          <w:szCs w:val="20"/>
        </w:rPr>
        <w:t xml:space="preserve"> be described by the following equation:</w:t>
      </w:r>
    </w:p>
    <w:p w14:paraId="50480A15" w14:textId="77777777" w:rsidR="00531DFD" w:rsidRPr="00314E4C" w:rsidRDefault="00531DFD" w:rsidP="00541F4F">
      <w:pPr>
        <w:pStyle w:val="NoSpacing"/>
        <w:jc w:val="both"/>
        <w:rPr>
          <w:rFonts w:ascii="Times New Roman" w:hAnsi="Times New Roman" w:cs="Times New Roman"/>
          <w:sz w:val="20"/>
          <w:szCs w:val="20"/>
        </w:rPr>
      </w:pPr>
    </w:p>
    <w:p w14:paraId="50480A16" w14:textId="77777777" w:rsidR="004A69EF" w:rsidRPr="00314E4C" w:rsidRDefault="00987FFB" w:rsidP="00A84467">
      <w:pPr>
        <w:pStyle w:val="NoSpacing"/>
        <w:jc w:val="right"/>
        <w:rPr>
          <w:rFonts w:ascii="Times New Roman" w:hAnsi="Times New Roman" w:cs="Times New Roman"/>
          <w:sz w:val="20"/>
          <w:szCs w:val="20"/>
        </w:rPr>
      </w:pPr>
      <w:r w:rsidRPr="00314E4C">
        <w:rPr>
          <w:rFonts w:ascii="Times New Roman" w:hAnsi="Times New Roman" w:cs="Times New Roman"/>
          <w:noProof/>
          <w:sz w:val="20"/>
          <w:szCs w:val="20"/>
        </w:rPr>
        <w:drawing>
          <wp:inline distT="0" distB="0" distL="0" distR="0" wp14:anchorId="50480A74" wp14:editId="50480A75">
            <wp:extent cx="3865715" cy="543448"/>
            <wp:effectExtent l="0" t="0" r="1905"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19399" cy="579111"/>
                    </a:xfrm>
                    <a:prstGeom prst="rect">
                      <a:avLst/>
                    </a:prstGeom>
                    <a:noFill/>
                    <a:ln>
                      <a:noFill/>
                    </a:ln>
                  </pic:spPr>
                </pic:pic>
              </a:graphicData>
            </a:graphic>
          </wp:inline>
        </w:drawing>
      </w:r>
      <w:r w:rsidR="00A84467" w:rsidRPr="00314E4C">
        <w:rPr>
          <w:rFonts w:ascii="Times New Roman" w:hAnsi="Times New Roman" w:cs="Times New Roman"/>
          <w:sz w:val="20"/>
          <w:szCs w:val="20"/>
        </w:rPr>
        <w:t xml:space="preserve">                     (4)</w:t>
      </w:r>
    </w:p>
    <w:p w14:paraId="50480A17" w14:textId="77777777" w:rsidR="004A69EF" w:rsidRPr="00314E4C" w:rsidRDefault="004A69EF" w:rsidP="00541F4F">
      <w:pPr>
        <w:pStyle w:val="NoSpacing"/>
        <w:jc w:val="both"/>
        <w:rPr>
          <w:rFonts w:ascii="Times New Roman" w:hAnsi="Times New Roman" w:cs="Times New Roman"/>
          <w:sz w:val="20"/>
          <w:szCs w:val="20"/>
        </w:rPr>
      </w:pPr>
    </w:p>
    <w:p w14:paraId="50480A18" w14:textId="754F6D0B" w:rsidR="004B440C" w:rsidRPr="00314E4C" w:rsidRDefault="0025344C" w:rsidP="00E81876">
      <w:pPr>
        <w:pStyle w:val="NoSpacing"/>
        <w:ind w:firstLine="426"/>
        <w:jc w:val="both"/>
        <w:rPr>
          <w:rFonts w:ascii="Times New Roman" w:hAnsi="Times New Roman" w:cs="Times New Roman"/>
          <w:sz w:val="20"/>
          <w:szCs w:val="20"/>
        </w:rPr>
      </w:pPr>
      <w:r w:rsidRPr="00314E4C">
        <w:rPr>
          <w:rFonts w:ascii="Times New Roman" w:hAnsi="Times New Roman" w:cs="Times New Roman"/>
          <w:sz w:val="20"/>
          <w:szCs w:val="20"/>
        </w:rPr>
        <w:t xml:space="preserve">The </w:t>
      </w:r>
      <w:r w:rsidR="004A69EF" w:rsidRPr="00314E4C">
        <w:rPr>
          <w:rFonts w:ascii="Times New Roman" w:hAnsi="Times New Roman" w:cs="Times New Roman"/>
          <w:sz w:val="20"/>
          <w:szCs w:val="20"/>
        </w:rPr>
        <w:t>arising peak was ascribed to the irreversible reduction of the nitro</w:t>
      </w:r>
      <w:r w:rsidR="009D4E61" w:rsidRPr="00314E4C">
        <w:rPr>
          <w:rFonts w:ascii="Times New Roman" w:hAnsi="Times New Roman" w:cs="Times New Roman"/>
          <w:sz w:val="20"/>
          <w:szCs w:val="20"/>
        </w:rPr>
        <w:t>-group</w:t>
      </w:r>
      <w:r w:rsidRPr="00314E4C">
        <w:rPr>
          <w:rFonts w:ascii="Times New Roman" w:hAnsi="Times New Roman" w:cs="Times New Roman"/>
          <w:sz w:val="20"/>
          <w:szCs w:val="20"/>
        </w:rPr>
        <w:t>,</w:t>
      </w:r>
      <w:r w:rsidR="004A69EF" w:rsidRPr="00314E4C">
        <w:rPr>
          <w:rFonts w:ascii="Times New Roman" w:hAnsi="Times New Roman" w:cs="Times New Roman"/>
          <w:sz w:val="20"/>
          <w:szCs w:val="20"/>
        </w:rPr>
        <w:t xml:space="preserve"> </w:t>
      </w:r>
      <w:r w:rsidRPr="00314E4C">
        <w:rPr>
          <w:rFonts w:ascii="Times New Roman" w:hAnsi="Times New Roman" w:cs="Times New Roman"/>
          <w:sz w:val="20"/>
          <w:szCs w:val="20"/>
        </w:rPr>
        <w:t xml:space="preserve">like the reduction of </w:t>
      </w:r>
      <w:r w:rsidR="00A972AF" w:rsidRPr="00314E4C">
        <w:rPr>
          <w:rFonts w:ascii="Times New Roman" w:hAnsi="Times New Roman" w:cs="Times New Roman"/>
          <w:sz w:val="20"/>
          <w:szCs w:val="20"/>
        </w:rPr>
        <w:t xml:space="preserve">the </w:t>
      </w:r>
      <w:r w:rsidRPr="00314E4C">
        <w:rPr>
          <w:rFonts w:ascii="Times New Roman" w:hAnsi="Times New Roman" w:cs="Times New Roman"/>
          <w:sz w:val="20"/>
          <w:szCs w:val="20"/>
        </w:rPr>
        <w:t>PNP</w:t>
      </w:r>
      <w:r w:rsidR="00A62D53" w:rsidRPr="00314E4C">
        <w:rPr>
          <w:rFonts w:ascii="Times New Roman" w:hAnsi="Times New Roman" w:cs="Times New Roman"/>
          <w:sz w:val="20"/>
          <w:szCs w:val="20"/>
        </w:rPr>
        <w:t xml:space="preserve">, </w:t>
      </w:r>
      <w:r w:rsidR="008A3CCD" w:rsidRPr="00314E4C">
        <w:rPr>
          <w:rFonts w:ascii="Times New Roman" w:hAnsi="Times New Roman" w:cs="Times New Roman"/>
          <w:sz w:val="20"/>
          <w:szCs w:val="20"/>
        </w:rPr>
        <w:t>the</w:t>
      </w:r>
      <w:r w:rsidRPr="00314E4C">
        <w:rPr>
          <w:rFonts w:ascii="Times New Roman" w:hAnsi="Times New Roman" w:cs="Times New Roman"/>
          <w:sz w:val="20"/>
          <w:szCs w:val="20"/>
        </w:rPr>
        <w:t xml:space="preserve"> </w:t>
      </w:r>
      <w:r w:rsidR="008A3CCD" w:rsidRPr="00314E4C">
        <w:rPr>
          <w:rFonts w:ascii="Times New Roman" w:hAnsi="Times New Roman" w:cs="Times New Roman"/>
          <w:sz w:val="20"/>
          <w:szCs w:val="20"/>
        </w:rPr>
        <w:t xml:space="preserve">other </w:t>
      </w:r>
      <w:r w:rsidRPr="00314E4C">
        <w:rPr>
          <w:rFonts w:ascii="Times New Roman" w:hAnsi="Times New Roman" w:cs="Times New Roman"/>
          <w:sz w:val="20"/>
          <w:szCs w:val="20"/>
        </w:rPr>
        <w:t>p-nitro phenyl substituted organophosphorus pesticides</w:t>
      </w:r>
      <w:r w:rsidR="009D4E61" w:rsidRPr="00314E4C">
        <w:rPr>
          <w:rFonts w:ascii="Times New Roman" w:hAnsi="Times New Roman" w:cs="Times New Roman"/>
          <w:sz w:val="20"/>
          <w:szCs w:val="20"/>
        </w:rPr>
        <w:t xml:space="preserve">, </w:t>
      </w:r>
      <w:r w:rsidR="00A62D53" w:rsidRPr="00314E4C">
        <w:rPr>
          <w:rFonts w:ascii="Times New Roman" w:hAnsi="Times New Roman" w:cs="Times New Roman"/>
          <w:sz w:val="20"/>
          <w:szCs w:val="20"/>
        </w:rPr>
        <w:t xml:space="preserve">and the aromatic and heterocyclic nitro compounds </w:t>
      </w:r>
      <w:r w:rsidR="009D4E61" w:rsidRPr="00314E4C">
        <w:rPr>
          <w:rFonts w:ascii="Times New Roman" w:hAnsi="Times New Roman" w:cs="Times New Roman"/>
          <w:sz w:val="20"/>
          <w:szCs w:val="20"/>
        </w:rPr>
        <w:t xml:space="preserve">in </w:t>
      </w:r>
      <w:r w:rsidR="00A62D53" w:rsidRPr="00314E4C">
        <w:rPr>
          <w:rFonts w:ascii="Times New Roman" w:hAnsi="Times New Roman" w:cs="Times New Roman"/>
          <w:sz w:val="20"/>
          <w:szCs w:val="20"/>
        </w:rPr>
        <w:t xml:space="preserve">general, in </w:t>
      </w:r>
      <w:r w:rsidR="009D4E61" w:rsidRPr="00314E4C">
        <w:rPr>
          <w:rFonts w:ascii="Times New Roman" w:hAnsi="Times New Roman" w:cs="Times New Roman"/>
          <w:sz w:val="20"/>
          <w:szCs w:val="20"/>
        </w:rPr>
        <w:t xml:space="preserve">accordance with data reported in the literature </w:t>
      </w:r>
      <w:r w:rsidR="00A62D53" w:rsidRPr="00314E4C">
        <w:rPr>
          <w:rFonts w:ascii="Times New Roman" w:hAnsi="Times New Roman" w:cs="Times New Roman"/>
          <w:sz w:val="20"/>
          <w:szCs w:val="20"/>
        </w:rPr>
        <w:t>[</w:t>
      </w:r>
      <w:r w:rsidR="002535BA" w:rsidRPr="00C35319">
        <w:rPr>
          <w:rFonts w:ascii="Times New Roman" w:hAnsi="Times New Roman" w:cs="Times New Roman"/>
          <w:sz w:val="20"/>
          <w:szCs w:val="20"/>
        </w:rPr>
        <w:t>19-21</w:t>
      </w:r>
      <w:r w:rsidR="0036596C" w:rsidRPr="00C35319">
        <w:rPr>
          <w:rFonts w:ascii="Times New Roman" w:hAnsi="Times New Roman" w:cs="Times New Roman"/>
          <w:sz w:val="20"/>
          <w:szCs w:val="20"/>
        </w:rPr>
        <w:t xml:space="preserve">, </w:t>
      </w:r>
      <w:r w:rsidR="002535BA" w:rsidRPr="00C35319">
        <w:rPr>
          <w:rFonts w:ascii="Times New Roman" w:hAnsi="Times New Roman" w:cs="Times New Roman"/>
          <w:sz w:val="20"/>
          <w:szCs w:val="20"/>
        </w:rPr>
        <w:t>23-26</w:t>
      </w:r>
      <w:r w:rsidR="00EC58F7" w:rsidRPr="00314E4C">
        <w:rPr>
          <w:rFonts w:ascii="Times New Roman" w:hAnsi="Times New Roman" w:cs="Times New Roman"/>
          <w:sz w:val="20"/>
          <w:szCs w:val="20"/>
        </w:rPr>
        <w:t>]. Nevertheless, the overpotential of paraoxon reduction, as well as the</w:t>
      </w:r>
      <w:r w:rsidR="004B440C" w:rsidRPr="00314E4C">
        <w:rPr>
          <w:rFonts w:ascii="Times New Roman" w:hAnsi="Times New Roman" w:cs="Times New Roman"/>
          <w:sz w:val="20"/>
          <w:szCs w:val="20"/>
        </w:rPr>
        <w:t xml:space="preserve"> </w:t>
      </w:r>
      <w:r w:rsidR="00EC58F7" w:rsidRPr="00314E4C">
        <w:rPr>
          <w:rFonts w:ascii="Times New Roman" w:hAnsi="Times New Roman" w:cs="Times New Roman"/>
          <w:sz w:val="20"/>
          <w:szCs w:val="20"/>
        </w:rPr>
        <w:t xml:space="preserve">reduction </w:t>
      </w:r>
      <w:r w:rsidR="00745DD7" w:rsidRPr="00314E4C">
        <w:rPr>
          <w:rFonts w:ascii="Times New Roman" w:hAnsi="Times New Roman" w:cs="Times New Roman"/>
          <w:sz w:val="20"/>
          <w:szCs w:val="20"/>
        </w:rPr>
        <w:t xml:space="preserve">peak current </w:t>
      </w:r>
      <w:r w:rsidR="00EC58F7" w:rsidRPr="00314E4C">
        <w:rPr>
          <w:rFonts w:ascii="Times New Roman" w:hAnsi="Times New Roman" w:cs="Times New Roman"/>
          <w:sz w:val="20"/>
          <w:szCs w:val="20"/>
        </w:rPr>
        <w:t xml:space="preserve">value </w:t>
      </w:r>
      <w:r w:rsidR="00745DD7" w:rsidRPr="00314E4C">
        <w:rPr>
          <w:rFonts w:ascii="Times New Roman" w:hAnsi="Times New Roman" w:cs="Times New Roman"/>
          <w:sz w:val="20"/>
          <w:szCs w:val="20"/>
        </w:rPr>
        <w:t>change</w:t>
      </w:r>
      <w:r w:rsidR="00EC58F7" w:rsidRPr="00314E4C">
        <w:rPr>
          <w:rFonts w:ascii="Times New Roman" w:hAnsi="Times New Roman" w:cs="Times New Roman"/>
          <w:sz w:val="20"/>
          <w:szCs w:val="20"/>
        </w:rPr>
        <w:t>d depending on the electrode material</w:t>
      </w:r>
      <w:r w:rsidR="00745DD7" w:rsidRPr="00314E4C">
        <w:rPr>
          <w:rFonts w:ascii="Times New Roman" w:hAnsi="Times New Roman" w:cs="Times New Roman"/>
          <w:sz w:val="20"/>
          <w:szCs w:val="20"/>
        </w:rPr>
        <w:t xml:space="preserve">. </w:t>
      </w:r>
      <w:r w:rsidR="004B440C" w:rsidRPr="00314E4C">
        <w:rPr>
          <w:rFonts w:ascii="Times New Roman" w:hAnsi="Times New Roman" w:cs="Times New Roman"/>
          <w:sz w:val="20"/>
          <w:szCs w:val="20"/>
        </w:rPr>
        <w:t xml:space="preserve">The positive peak potential shift of 10 mV and of 100 mV on Bi/GCE and on Gr/GCE correspondingly with respect to the peak potential registered on bare GCE demonstrated that electrode modification favored the paraoxon reduction. </w:t>
      </w:r>
      <w:r w:rsidR="00D17502" w:rsidRPr="00314E4C">
        <w:rPr>
          <w:rFonts w:ascii="Times New Roman" w:hAnsi="Times New Roman" w:cs="Times New Roman"/>
          <w:sz w:val="20"/>
          <w:szCs w:val="20"/>
        </w:rPr>
        <w:t>Although t</w:t>
      </w:r>
      <w:r w:rsidR="00EC58F7" w:rsidRPr="00314E4C">
        <w:rPr>
          <w:rFonts w:ascii="Times New Roman" w:hAnsi="Times New Roman" w:cs="Times New Roman"/>
          <w:sz w:val="20"/>
          <w:szCs w:val="20"/>
        </w:rPr>
        <w:t>he peak potential of the paraoxon reduction on Bi/Gr/GCE (-0.65 V vs. Ag.AgCl/KCl</w:t>
      </w:r>
      <w:r w:rsidR="00EC58F7" w:rsidRPr="00314E4C">
        <w:rPr>
          <w:rFonts w:ascii="Times New Roman" w:hAnsi="Times New Roman" w:cs="Times New Roman"/>
          <w:sz w:val="20"/>
          <w:szCs w:val="20"/>
          <w:vertAlign w:val="subscript"/>
        </w:rPr>
        <w:t>sat</w:t>
      </w:r>
      <w:r w:rsidR="00EC58F7" w:rsidRPr="00314E4C">
        <w:rPr>
          <w:rFonts w:ascii="Times New Roman" w:hAnsi="Times New Roman" w:cs="Times New Roman"/>
          <w:sz w:val="20"/>
          <w:szCs w:val="20"/>
        </w:rPr>
        <w:t xml:space="preserve">) was </w:t>
      </w:r>
      <w:r w:rsidR="009A7099" w:rsidRPr="00314E4C">
        <w:rPr>
          <w:rFonts w:ascii="Times New Roman" w:hAnsi="Times New Roman" w:cs="Times New Roman"/>
          <w:sz w:val="20"/>
          <w:szCs w:val="20"/>
        </w:rPr>
        <w:t xml:space="preserve">only </w:t>
      </w:r>
      <w:r w:rsidR="00EC58F7" w:rsidRPr="00314E4C">
        <w:rPr>
          <w:rFonts w:ascii="Times New Roman" w:hAnsi="Times New Roman" w:cs="Times New Roman"/>
          <w:sz w:val="20"/>
          <w:szCs w:val="20"/>
        </w:rPr>
        <w:t>with 40 mV more positive</w:t>
      </w:r>
      <w:r w:rsidR="00D17502" w:rsidRPr="00314E4C">
        <w:rPr>
          <w:rFonts w:ascii="Times New Roman" w:hAnsi="Times New Roman" w:cs="Times New Roman"/>
          <w:sz w:val="20"/>
          <w:szCs w:val="20"/>
        </w:rPr>
        <w:t xml:space="preserve"> in comparison </w:t>
      </w:r>
      <w:r w:rsidR="0080707B" w:rsidRPr="00314E4C">
        <w:rPr>
          <w:rFonts w:ascii="Times New Roman" w:hAnsi="Times New Roman" w:cs="Times New Roman"/>
          <w:sz w:val="20"/>
          <w:szCs w:val="20"/>
        </w:rPr>
        <w:t>to</w:t>
      </w:r>
      <w:r w:rsidR="00D17502" w:rsidRPr="00314E4C">
        <w:rPr>
          <w:rFonts w:ascii="Times New Roman" w:hAnsi="Times New Roman" w:cs="Times New Roman"/>
          <w:sz w:val="20"/>
          <w:szCs w:val="20"/>
        </w:rPr>
        <w:t xml:space="preserve"> the recorded</w:t>
      </w:r>
      <w:r w:rsidR="00EC58F7" w:rsidRPr="00314E4C">
        <w:rPr>
          <w:rFonts w:ascii="Times New Roman" w:hAnsi="Times New Roman" w:cs="Times New Roman"/>
          <w:sz w:val="20"/>
          <w:szCs w:val="20"/>
        </w:rPr>
        <w:t xml:space="preserve"> peak potential on GCE (-0.69 V vs. Ag.AgCl/KCl</w:t>
      </w:r>
      <w:r w:rsidR="00EC58F7" w:rsidRPr="00314E4C">
        <w:rPr>
          <w:rFonts w:ascii="Times New Roman" w:hAnsi="Times New Roman" w:cs="Times New Roman"/>
          <w:sz w:val="20"/>
          <w:szCs w:val="20"/>
          <w:vertAlign w:val="subscript"/>
        </w:rPr>
        <w:t>sat</w:t>
      </w:r>
      <w:r w:rsidR="00183E72" w:rsidRPr="00314E4C">
        <w:rPr>
          <w:rFonts w:ascii="Times New Roman" w:hAnsi="Times New Roman" w:cs="Times New Roman"/>
          <w:sz w:val="20"/>
          <w:szCs w:val="20"/>
        </w:rPr>
        <w:t>),</w:t>
      </w:r>
      <w:r w:rsidR="00EC58F7" w:rsidRPr="00314E4C">
        <w:rPr>
          <w:rFonts w:ascii="Times New Roman" w:hAnsi="Times New Roman" w:cs="Times New Roman"/>
          <w:sz w:val="20"/>
          <w:szCs w:val="20"/>
        </w:rPr>
        <w:t xml:space="preserve"> </w:t>
      </w:r>
      <w:r w:rsidR="00D17502" w:rsidRPr="00314E4C">
        <w:rPr>
          <w:rFonts w:ascii="Times New Roman" w:hAnsi="Times New Roman" w:cs="Times New Roman"/>
          <w:sz w:val="20"/>
          <w:szCs w:val="20"/>
        </w:rPr>
        <w:t xml:space="preserve">the increase of the peak current </w:t>
      </w:r>
      <w:r w:rsidR="009A7099" w:rsidRPr="00314E4C">
        <w:rPr>
          <w:rFonts w:ascii="Times New Roman" w:hAnsi="Times New Roman" w:cs="Times New Roman"/>
          <w:sz w:val="20"/>
          <w:szCs w:val="20"/>
        </w:rPr>
        <w:t>was the most important (4.3-fo</w:t>
      </w:r>
      <w:r w:rsidR="00E81876" w:rsidRPr="00314E4C">
        <w:rPr>
          <w:rFonts w:ascii="Times New Roman" w:hAnsi="Times New Roman" w:cs="Times New Roman"/>
          <w:sz w:val="20"/>
          <w:szCs w:val="20"/>
        </w:rPr>
        <w:t xml:space="preserve">ld vs. </w:t>
      </w:r>
      <w:r w:rsidR="009A7099" w:rsidRPr="00314E4C">
        <w:rPr>
          <w:rFonts w:ascii="Times New Roman" w:hAnsi="Times New Roman" w:cs="Times New Roman"/>
          <w:sz w:val="20"/>
          <w:szCs w:val="20"/>
        </w:rPr>
        <w:t>GCE</w:t>
      </w:r>
      <w:r w:rsidR="00E81876" w:rsidRPr="00314E4C">
        <w:rPr>
          <w:rFonts w:ascii="Times New Roman" w:hAnsi="Times New Roman" w:cs="Times New Roman"/>
          <w:sz w:val="20"/>
          <w:szCs w:val="20"/>
        </w:rPr>
        <w:t xml:space="preserve">, 3.9-fold vs. </w:t>
      </w:r>
      <w:r w:rsidR="00DB37F0" w:rsidRPr="00314E4C">
        <w:rPr>
          <w:rFonts w:ascii="Times New Roman" w:hAnsi="Times New Roman" w:cs="Times New Roman"/>
          <w:sz w:val="20"/>
          <w:szCs w:val="20"/>
        </w:rPr>
        <w:t>Bi/GCE,</w:t>
      </w:r>
      <w:r w:rsidR="00E81876" w:rsidRPr="00314E4C">
        <w:rPr>
          <w:rFonts w:ascii="Times New Roman" w:hAnsi="Times New Roman" w:cs="Times New Roman"/>
          <w:sz w:val="20"/>
          <w:szCs w:val="20"/>
        </w:rPr>
        <w:t xml:space="preserve"> and 1.4-fold vs. </w:t>
      </w:r>
      <w:r w:rsidR="00DB37F0" w:rsidRPr="00314E4C">
        <w:rPr>
          <w:rFonts w:ascii="Times New Roman" w:hAnsi="Times New Roman" w:cs="Times New Roman"/>
          <w:sz w:val="20"/>
          <w:szCs w:val="20"/>
        </w:rPr>
        <w:t>Gr/GCE</w:t>
      </w:r>
      <w:r w:rsidR="009A7099" w:rsidRPr="00314E4C">
        <w:rPr>
          <w:rFonts w:ascii="Times New Roman" w:hAnsi="Times New Roman" w:cs="Times New Roman"/>
          <w:sz w:val="20"/>
          <w:szCs w:val="20"/>
        </w:rPr>
        <w:t>).</w:t>
      </w:r>
      <w:r w:rsidR="00E81876" w:rsidRPr="00314E4C">
        <w:rPr>
          <w:rFonts w:ascii="Times New Roman" w:hAnsi="Times New Roman" w:cs="Times New Roman"/>
          <w:sz w:val="20"/>
          <w:szCs w:val="20"/>
        </w:rPr>
        <w:t xml:space="preserve"> These results were attributed to the great active surface area and increased catalytic activity of the Bi/Gr/GCE, as </w:t>
      </w:r>
      <w:r w:rsidR="00CE645B" w:rsidRPr="00314E4C">
        <w:rPr>
          <w:rFonts w:ascii="Times New Roman" w:hAnsi="Times New Roman" w:cs="Times New Roman"/>
          <w:sz w:val="20"/>
          <w:szCs w:val="20"/>
        </w:rPr>
        <w:t>commented</w:t>
      </w:r>
      <w:r w:rsidR="00E81876" w:rsidRPr="00314E4C">
        <w:rPr>
          <w:rFonts w:ascii="Times New Roman" w:hAnsi="Times New Roman" w:cs="Times New Roman"/>
          <w:sz w:val="20"/>
          <w:szCs w:val="20"/>
        </w:rPr>
        <w:t xml:space="preserve"> in the previous section.</w:t>
      </w:r>
    </w:p>
    <w:p w14:paraId="50480A19" w14:textId="77777777" w:rsidR="00D535AE" w:rsidRPr="00314E4C" w:rsidRDefault="00392CEB" w:rsidP="0031684C">
      <w:pPr>
        <w:pStyle w:val="NoSpacing"/>
        <w:jc w:val="center"/>
        <w:rPr>
          <w:rFonts w:ascii="Times New Roman" w:hAnsi="Times New Roman" w:cs="Times New Roman"/>
          <w:sz w:val="20"/>
          <w:szCs w:val="20"/>
        </w:rPr>
      </w:pPr>
      <w:r w:rsidRPr="00314E4C">
        <w:rPr>
          <w:rFonts w:ascii="Times New Roman" w:hAnsi="Times New Roman" w:cs="Times New Roman"/>
          <w:noProof/>
          <w:sz w:val="20"/>
          <w:szCs w:val="20"/>
        </w:rPr>
        <w:drawing>
          <wp:inline distT="0" distB="0" distL="0" distR="0" wp14:anchorId="50480A76" wp14:editId="03DFC68E">
            <wp:extent cx="3524250" cy="2622398"/>
            <wp:effectExtent l="0" t="0" r="0" b="698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42774" cy="2636182"/>
                    </a:xfrm>
                    <a:prstGeom prst="rect">
                      <a:avLst/>
                    </a:prstGeom>
                    <a:noFill/>
                  </pic:spPr>
                </pic:pic>
              </a:graphicData>
            </a:graphic>
          </wp:inline>
        </w:drawing>
      </w:r>
    </w:p>
    <w:p w14:paraId="50480A1A" w14:textId="77777777" w:rsidR="00D535AE" w:rsidRPr="00314E4C" w:rsidRDefault="00D535AE" w:rsidP="00D535AE">
      <w:pPr>
        <w:pStyle w:val="NoSpacing"/>
        <w:jc w:val="both"/>
        <w:rPr>
          <w:rFonts w:ascii="Times New Roman" w:hAnsi="Times New Roman" w:cs="Times New Roman"/>
          <w:sz w:val="20"/>
          <w:szCs w:val="20"/>
        </w:rPr>
      </w:pPr>
    </w:p>
    <w:p w14:paraId="50480A1B" w14:textId="3F94A3D0" w:rsidR="00D535AE" w:rsidRPr="00314E4C" w:rsidRDefault="000955FC" w:rsidP="00D535AE">
      <w:pPr>
        <w:pStyle w:val="NoSpacing"/>
        <w:jc w:val="both"/>
        <w:rPr>
          <w:rFonts w:ascii="Times New Roman" w:hAnsi="Times New Roman" w:cs="Times New Roman"/>
          <w:sz w:val="20"/>
          <w:szCs w:val="20"/>
        </w:rPr>
      </w:pPr>
      <w:r>
        <w:rPr>
          <w:rFonts w:ascii="Times New Roman" w:hAnsi="Times New Roman" w:cs="Times New Roman"/>
          <w:b/>
          <w:sz w:val="20"/>
          <w:szCs w:val="20"/>
        </w:rPr>
        <w:t>Fig. 3</w:t>
      </w:r>
      <w:r w:rsidR="00D535AE" w:rsidRPr="00314E4C">
        <w:rPr>
          <w:rFonts w:ascii="Times New Roman" w:hAnsi="Times New Roman" w:cs="Times New Roman"/>
          <w:sz w:val="20"/>
          <w:szCs w:val="20"/>
        </w:rPr>
        <w:t xml:space="preserve"> Cyclic voltammetric response of the bare GCE, Bi/GCE, Gr/GCE, and Bi/Gr/GCE to paraoxon (40 µmol L</w:t>
      </w:r>
      <w:r w:rsidR="00D535AE" w:rsidRPr="00314E4C">
        <w:rPr>
          <w:rFonts w:ascii="Times New Roman" w:hAnsi="Times New Roman" w:cs="Times New Roman"/>
          <w:sz w:val="20"/>
          <w:szCs w:val="20"/>
          <w:vertAlign w:val="superscript"/>
        </w:rPr>
        <w:t>-1</w:t>
      </w:r>
      <w:r w:rsidR="00D535AE" w:rsidRPr="00314E4C">
        <w:rPr>
          <w:rFonts w:ascii="Times New Roman" w:hAnsi="Times New Roman" w:cs="Times New Roman"/>
          <w:sz w:val="20"/>
          <w:szCs w:val="20"/>
        </w:rPr>
        <w:t>) reduction. Britton-Robinson buffer pH 6. Scan rate 0.1 V s</w:t>
      </w:r>
      <w:r w:rsidR="00D535AE" w:rsidRPr="00314E4C">
        <w:rPr>
          <w:rFonts w:ascii="Times New Roman" w:hAnsi="Times New Roman" w:cs="Times New Roman"/>
          <w:sz w:val="20"/>
          <w:szCs w:val="20"/>
          <w:vertAlign w:val="superscript"/>
        </w:rPr>
        <w:t>-1</w:t>
      </w:r>
      <w:r w:rsidR="00D535AE" w:rsidRPr="00314E4C">
        <w:rPr>
          <w:rFonts w:ascii="Times New Roman" w:hAnsi="Times New Roman" w:cs="Times New Roman"/>
          <w:sz w:val="20"/>
          <w:szCs w:val="20"/>
        </w:rPr>
        <w:t>. Ambient temperature.</w:t>
      </w:r>
    </w:p>
    <w:p w14:paraId="50480A1C" w14:textId="77777777" w:rsidR="00D535AE" w:rsidRPr="00314E4C" w:rsidRDefault="00D535AE" w:rsidP="00D535AE">
      <w:pPr>
        <w:pStyle w:val="NoSpacing"/>
        <w:jc w:val="both"/>
        <w:rPr>
          <w:rFonts w:ascii="Times New Roman" w:hAnsi="Times New Roman" w:cs="Times New Roman"/>
          <w:sz w:val="20"/>
          <w:szCs w:val="20"/>
        </w:rPr>
      </w:pPr>
    </w:p>
    <w:p w14:paraId="50480A1D" w14:textId="771576B2" w:rsidR="00E81876" w:rsidRPr="00314E4C" w:rsidRDefault="00A84467" w:rsidP="00E81876">
      <w:pPr>
        <w:pStyle w:val="NoSpacing"/>
        <w:ind w:firstLine="426"/>
        <w:jc w:val="both"/>
        <w:rPr>
          <w:rFonts w:ascii="Times New Roman" w:hAnsi="Times New Roman" w:cs="Times New Roman"/>
          <w:sz w:val="20"/>
          <w:szCs w:val="20"/>
        </w:rPr>
      </w:pPr>
      <w:r w:rsidRPr="00314E4C">
        <w:rPr>
          <w:rFonts w:ascii="Times New Roman" w:hAnsi="Times New Roman" w:cs="Times New Roman"/>
          <w:sz w:val="20"/>
          <w:szCs w:val="20"/>
        </w:rPr>
        <w:t>Further studies were performed to investigate the pH dependence of the process of paraoxon reduction on Bi/Gr/GCE, using Br</w:t>
      </w:r>
      <w:r w:rsidR="00705A6B">
        <w:rPr>
          <w:rFonts w:ascii="Times New Roman" w:hAnsi="Times New Roman" w:cs="Times New Roman"/>
          <w:sz w:val="20"/>
          <w:szCs w:val="20"/>
        </w:rPr>
        <w:t xml:space="preserve">itton-Robinson buffers </w:t>
      </w:r>
      <w:r w:rsidRPr="00314E4C">
        <w:rPr>
          <w:rFonts w:ascii="Times New Roman" w:hAnsi="Times New Roman" w:cs="Times New Roman"/>
          <w:sz w:val="20"/>
          <w:szCs w:val="20"/>
        </w:rPr>
        <w:t xml:space="preserve">with pH </w:t>
      </w:r>
      <w:r w:rsidR="00E86B1E" w:rsidRPr="00314E4C">
        <w:rPr>
          <w:rFonts w:ascii="Times New Roman" w:hAnsi="Times New Roman" w:cs="Times New Roman"/>
          <w:sz w:val="20"/>
          <w:szCs w:val="20"/>
        </w:rPr>
        <w:t xml:space="preserve">values </w:t>
      </w:r>
      <w:r w:rsidRPr="00314E4C">
        <w:rPr>
          <w:rFonts w:ascii="Times New Roman" w:hAnsi="Times New Roman" w:cs="Times New Roman"/>
          <w:sz w:val="20"/>
          <w:szCs w:val="20"/>
        </w:rPr>
        <w:t xml:space="preserve">varying in the range 4-8. </w:t>
      </w:r>
      <w:r w:rsidR="00535D64" w:rsidRPr="00314E4C">
        <w:rPr>
          <w:rFonts w:ascii="Times New Roman" w:hAnsi="Times New Roman" w:cs="Times New Roman"/>
          <w:sz w:val="20"/>
          <w:szCs w:val="20"/>
        </w:rPr>
        <w:t>The recorded cyclic voltammetric curves and the resulting peak potential vs. pH and peak current vs. pH</w:t>
      </w:r>
      <w:r w:rsidR="00E92567" w:rsidRPr="00314E4C">
        <w:rPr>
          <w:rFonts w:ascii="Times New Roman" w:hAnsi="Times New Roman" w:cs="Times New Roman"/>
          <w:sz w:val="20"/>
          <w:szCs w:val="20"/>
        </w:rPr>
        <w:t xml:space="preserve"> plots are presented</w:t>
      </w:r>
      <w:r w:rsidR="000955FC">
        <w:rPr>
          <w:rFonts w:ascii="Times New Roman" w:hAnsi="Times New Roman" w:cs="Times New Roman"/>
          <w:sz w:val="20"/>
          <w:szCs w:val="20"/>
        </w:rPr>
        <w:t xml:space="preserve"> in Fig. 4</w:t>
      </w:r>
      <w:r w:rsidR="00E92567" w:rsidRPr="00314E4C">
        <w:rPr>
          <w:rFonts w:ascii="Times New Roman" w:hAnsi="Times New Roman" w:cs="Times New Roman"/>
          <w:sz w:val="20"/>
          <w:szCs w:val="20"/>
        </w:rPr>
        <w:t>.</w:t>
      </w:r>
    </w:p>
    <w:p w14:paraId="50480A1E" w14:textId="77777777" w:rsidR="00182D8C" w:rsidRPr="00314E4C" w:rsidRDefault="00182D8C" w:rsidP="00541F4F">
      <w:pPr>
        <w:pStyle w:val="NoSpacing"/>
        <w:jc w:val="both"/>
        <w:rPr>
          <w:rFonts w:ascii="Times New Roman" w:hAnsi="Times New Roman" w:cs="Times New Roman"/>
          <w:sz w:val="20"/>
          <w:szCs w:val="20"/>
        </w:rPr>
      </w:pPr>
    </w:p>
    <w:p w14:paraId="50480A20" w14:textId="291EE690" w:rsidR="006603D8" w:rsidRPr="00314E4C" w:rsidRDefault="0057196E" w:rsidP="00E92567">
      <w:pPr>
        <w:pStyle w:val="NoSpacing"/>
        <w:jc w:val="center"/>
        <w:rPr>
          <w:rFonts w:ascii="Times New Roman" w:hAnsi="Times New Roman" w:cs="Times New Roman"/>
          <w:sz w:val="20"/>
          <w:szCs w:val="20"/>
        </w:rPr>
      </w:pPr>
      <w:r w:rsidRPr="00314E4C">
        <w:rPr>
          <w:rFonts w:ascii="Times New Roman" w:hAnsi="Times New Roman" w:cs="Times New Roman"/>
          <w:noProof/>
          <w:sz w:val="20"/>
          <w:szCs w:val="20"/>
        </w:rPr>
        <w:lastRenderedPageBreak/>
        <w:drawing>
          <wp:inline distT="0" distB="0" distL="0" distR="0" wp14:anchorId="50480A78" wp14:editId="73303F98">
            <wp:extent cx="4438650" cy="2914044"/>
            <wp:effectExtent l="0" t="0" r="0" b="63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67041" cy="2932683"/>
                    </a:xfrm>
                    <a:prstGeom prst="rect">
                      <a:avLst/>
                    </a:prstGeom>
                    <a:noFill/>
                  </pic:spPr>
                </pic:pic>
              </a:graphicData>
            </a:graphic>
          </wp:inline>
        </w:drawing>
      </w:r>
    </w:p>
    <w:p w14:paraId="50480A21" w14:textId="3E95B2B5" w:rsidR="006603D8" w:rsidRDefault="000955FC" w:rsidP="00541F4F">
      <w:pPr>
        <w:pStyle w:val="NoSpacing"/>
        <w:jc w:val="both"/>
        <w:rPr>
          <w:rFonts w:ascii="Times New Roman" w:hAnsi="Times New Roman" w:cs="Times New Roman"/>
          <w:sz w:val="20"/>
          <w:szCs w:val="20"/>
        </w:rPr>
      </w:pPr>
      <w:r>
        <w:rPr>
          <w:rFonts w:ascii="Times New Roman" w:hAnsi="Times New Roman" w:cs="Times New Roman"/>
          <w:b/>
          <w:sz w:val="20"/>
          <w:szCs w:val="20"/>
        </w:rPr>
        <w:t>Fig. 4</w:t>
      </w:r>
      <w:r w:rsidR="00E92567" w:rsidRPr="00314E4C">
        <w:rPr>
          <w:rFonts w:ascii="Times New Roman" w:hAnsi="Times New Roman" w:cs="Times New Roman"/>
          <w:sz w:val="20"/>
          <w:szCs w:val="20"/>
        </w:rPr>
        <w:t xml:space="preserve"> </w:t>
      </w:r>
      <w:r w:rsidR="00D535AE" w:rsidRPr="00314E4C">
        <w:rPr>
          <w:rFonts w:ascii="Times New Roman" w:hAnsi="Times New Roman" w:cs="Times New Roman"/>
          <w:sz w:val="20"/>
          <w:szCs w:val="20"/>
        </w:rPr>
        <w:t>A. Cyclic voltammetric response of the Bi/Gr/GCE to paraoxon (40 µmol L</w:t>
      </w:r>
      <w:r w:rsidR="00D535AE" w:rsidRPr="00314E4C">
        <w:rPr>
          <w:rFonts w:ascii="Times New Roman" w:hAnsi="Times New Roman" w:cs="Times New Roman"/>
          <w:sz w:val="20"/>
          <w:szCs w:val="20"/>
          <w:vertAlign w:val="superscript"/>
        </w:rPr>
        <w:t>-1</w:t>
      </w:r>
      <w:r w:rsidR="00D535AE" w:rsidRPr="00314E4C">
        <w:rPr>
          <w:rFonts w:ascii="Times New Roman" w:hAnsi="Times New Roman" w:cs="Times New Roman"/>
          <w:sz w:val="20"/>
          <w:szCs w:val="20"/>
        </w:rPr>
        <w:t>) reduction. Britton-Robinson buffer with varying pH. Scan rate 0.1 V s</w:t>
      </w:r>
      <w:r w:rsidR="00D535AE" w:rsidRPr="00314E4C">
        <w:rPr>
          <w:rFonts w:ascii="Times New Roman" w:hAnsi="Times New Roman" w:cs="Times New Roman"/>
          <w:sz w:val="20"/>
          <w:szCs w:val="20"/>
          <w:vertAlign w:val="superscript"/>
        </w:rPr>
        <w:t>-1</w:t>
      </w:r>
      <w:r w:rsidR="00D535AE" w:rsidRPr="00314E4C">
        <w:rPr>
          <w:rFonts w:ascii="Times New Roman" w:hAnsi="Times New Roman" w:cs="Times New Roman"/>
          <w:sz w:val="20"/>
          <w:szCs w:val="20"/>
        </w:rPr>
        <w:t>. Ambient temperature. B. Paraoxon reduction peak potential vs. pH plot. C. Paraoxon reduction peak current vs. pH plot.</w:t>
      </w:r>
    </w:p>
    <w:p w14:paraId="59803641" w14:textId="77777777" w:rsidR="00753C77" w:rsidRPr="00314E4C" w:rsidRDefault="00753C77" w:rsidP="00541F4F">
      <w:pPr>
        <w:pStyle w:val="NoSpacing"/>
        <w:jc w:val="both"/>
        <w:rPr>
          <w:rFonts w:ascii="Times New Roman" w:hAnsi="Times New Roman" w:cs="Times New Roman"/>
          <w:sz w:val="20"/>
          <w:szCs w:val="20"/>
        </w:rPr>
      </w:pPr>
    </w:p>
    <w:p w14:paraId="50480A23" w14:textId="77777777" w:rsidR="009A7612" w:rsidRPr="00314E4C" w:rsidRDefault="009A7612" w:rsidP="009A7612">
      <w:pPr>
        <w:pStyle w:val="NoSpacing"/>
        <w:ind w:firstLine="426"/>
        <w:jc w:val="both"/>
        <w:rPr>
          <w:rFonts w:ascii="Times New Roman" w:hAnsi="Times New Roman" w:cs="Times New Roman"/>
          <w:sz w:val="20"/>
          <w:szCs w:val="20"/>
        </w:rPr>
      </w:pPr>
      <w:r w:rsidRPr="00314E4C">
        <w:rPr>
          <w:rFonts w:ascii="Times New Roman" w:hAnsi="Times New Roman" w:cs="Times New Roman"/>
          <w:sz w:val="20"/>
          <w:szCs w:val="20"/>
        </w:rPr>
        <w:t>The slope of the peak potential vs. pH plot with a value of 0.052 V/pH, close to the predicted Nernstian value of 0.059 V/pH demonstrates that the paraoxon reduction involves the exchange of the same number of protons and electrons, as Eq. 4 shows. The current response of the Bi/Gr/GCE to paraoxon reduction increased with pH up to pH 6 and decreased for higher pH values. Hence, pH 6 was chosen as optimum for the paraoxon determination.</w:t>
      </w:r>
    </w:p>
    <w:p w14:paraId="50480A24" w14:textId="77777777" w:rsidR="009A7612" w:rsidRPr="00314E4C" w:rsidRDefault="009A7612" w:rsidP="00541F4F">
      <w:pPr>
        <w:pStyle w:val="NoSpacing"/>
        <w:jc w:val="both"/>
        <w:rPr>
          <w:rFonts w:ascii="Times New Roman" w:hAnsi="Times New Roman" w:cs="Times New Roman"/>
          <w:sz w:val="20"/>
          <w:szCs w:val="20"/>
        </w:rPr>
      </w:pPr>
    </w:p>
    <w:p w14:paraId="50480A25" w14:textId="77777777" w:rsidR="00D535AE" w:rsidRPr="00314E4C" w:rsidRDefault="003405C0" w:rsidP="00B45603">
      <w:pPr>
        <w:pStyle w:val="NoSpacing"/>
        <w:jc w:val="both"/>
        <w:rPr>
          <w:rFonts w:ascii="Times New Roman" w:hAnsi="Times New Roman" w:cs="Times New Roman"/>
          <w:b/>
          <w:sz w:val="20"/>
          <w:szCs w:val="20"/>
        </w:rPr>
      </w:pPr>
      <w:r w:rsidRPr="00314E4C">
        <w:rPr>
          <w:rFonts w:ascii="Times New Roman" w:hAnsi="Times New Roman" w:cs="Times New Roman"/>
          <w:b/>
          <w:sz w:val="20"/>
          <w:szCs w:val="20"/>
        </w:rPr>
        <w:t>Analytical characterization of the paraoxon determination</w:t>
      </w:r>
    </w:p>
    <w:p w14:paraId="50480A26" w14:textId="71F63659" w:rsidR="003405C0" w:rsidRPr="00314E4C" w:rsidRDefault="00B45603" w:rsidP="00B45603">
      <w:pPr>
        <w:pStyle w:val="NoSpacing"/>
        <w:jc w:val="both"/>
        <w:rPr>
          <w:rFonts w:ascii="Times New Roman" w:hAnsi="Times New Roman" w:cs="Times New Roman"/>
          <w:sz w:val="20"/>
          <w:szCs w:val="20"/>
        </w:rPr>
      </w:pPr>
      <w:r w:rsidRPr="00314E4C">
        <w:rPr>
          <w:rFonts w:ascii="Times New Roman" w:hAnsi="Times New Roman" w:cs="Times New Roman"/>
          <w:sz w:val="20"/>
          <w:szCs w:val="20"/>
        </w:rPr>
        <w:t>The analytical performances of the Bi/Gr/GCE for OPs determination were evaluated using paraoxon. The analysis was performed by</w:t>
      </w:r>
      <w:r w:rsidR="0056265C">
        <w:rPr>
          <w:rFonts w:ascii="Times New Roman" w:hAnsi="Times New Roman" w:cs="Times New Roman"/>
          <w:sz w:val="20"/>
          <w:szCs w:val="20"/>
        </w:rPr>
        <w:t xml:space="preserve"> differential pulse voltammetry, as previously specified. </w:t>
      </w:r>
      <w:r w:rsidRPr="00314E4C">
        <w:rPr>
          <w:rFonts w:ascii="Times New Roman" w:hAnsi="Times New Roman" w:cs="Times New Roman"/>
          <w:sz w:val="20"/>
          <w:szCs w:val="20"/>
        </w:rPr>
        <w:t>The registered under the optimum conditions for paraoxon quantification DPV-curves and the constructed cali</w:t>
      </w:r>
      <w:r w:rsidR="000955FC">
        <w:rPr>
          <w:rFonts w:ascii="Times New Roman" w:hAnsi="Times New Roman" w:cs="Times New Roman"/>
          <w:sz w:val="20"/>
          <w:szCs w:val="20"/>
        </w:rPr>
        <w:t>bration plot are shown in Fig. 5</w:t>
      </w:r>
      <w:r w:rsidRPr="00314E4C">
        <w:rPr>
          <w:rFonts w:ascii="Times New Roman" w:hAnsi="Times New Roman" w:cs="Times New Roman"/>
          <w:sz w:val="20"/>
          <w:szCs w:val="20"/>
        </w:rPr>
        <w:t>.</w:t>
      </w:r>
    </w:p>
    <w:p w14:paraId="43763316" w14:textId="77777777" w:rsidR="00B45603" w:rsidRPr="00314E4C" w:rsidRDefault="00B45603" w:rsidP="00B45603">
      <w:pPr>
        <w:pStyle w:val="NoSpacing"/>
        <w:jc w:val="both"/>
        <w:rPr>
          <w:rFonts w:ascii="Times New Roman" w:hAnsi="Times New Roman" w:cs="Times New Roman"/>
          <w:sz w:val="20"/>
          <w:szCs w:val="20"/>
        </w:rPr>
      </w:pPr>
    </w:p>
    <w:p w14:paraId="50480A27" w14:textId="1A39FE15" w:rsidR="003405C0" w:rsidRPr="00314E4C" w:rsidRDefault="00B45603" w:rsidP="005134C4">
      <w:pPr>
        <w:pStyle w:val="NoSpacing"/>
        <w:rPr>
          <w:rFonts w:ascii="Times New Roman" w:hAnsi="Times New Roman" w:cs="Times New Roman"/>
          <w:sz w:val="20"/>
          <w:szCs w:val="20"/>
        </w:rPr>
      </w:pPr>
      <w:r w:rsidRPr="00314E4C">
        <w:rPr>
          <w:noProof/>
        </w:rPr>
        <w:drawing>
          <wp:inline distT="0" distB="0" distL="0" distR="0" wp14:anchorId="2D2BF373" wp14:editId="1F613A1B">
            <wp:extent cx="5486400" cy="2400299"/>
            <wp:effectExtent l="0" t="0" r="0" b="63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95987" cy="2404493"/>
                    </a:xfrm>
                    <a:prstGeom prst="rect">
                      <a:avLst/>
                    </a:prstGeom>
                  </pic:spPr>
                </pic:pic>
              </a:graphicData>
            </a:graphic>
          </wp:inline>
        </w:drawing>
      </w:r>
    </w:p>
    <w:p w14:paraId="50480A28" w14:textId="77777777" w:rsidR="00B11113" w:rsidRPr="00314E4C" w:rsidRDefault="00B11113" w:rsidP="00541F4F">
      <w:pPr>
        <w:pStyle w:val="NoSpacing"/>
        <w:jc w:val="both"/>
        <w:rPr>
          <w:rFonts w:ascii="Times New Roman" w:hAnsi="Times New Roman" w:cs="Times New Roman"/>
          <w:sz w:val="20"/>
          <w:szCs w:val="20"/>
        </w:rPr>
      </w:pPr>
    </w:p>
    <w:p w14:paraId="50480A29" w14:textId="581AE3C8" w:rsidR="00B11113" w:rsidRPr="006C734F" w:rsidRDefault="000955FC" w:rsidP="00B45603">
      <w:pPr>
        <w:pStyle w:val="NoSpacing"/>
        <w:jc w:val="both"/>
        <w:rPr>
          <w:rFonts w:ascii="Times New Roman" w:hAnsi="Times New Roman" w:cs="Times New Roman"/>
          <w:sz w:val="20"/>
          <w:szCs w:val="20"/>
        </w:rPr>
      </w:pPr>
      <w:r w:rsidRPr="006C734F">
        <w:rPr>
          <w:rFonts w:ascii="Times New Roman" w:hAnsi="Times New Roman" w:cs="Times New Roman"/>
          <w:b/>
          <w:sz w:val="20"/>
          <w:szCs w:val="20"/>
        </w:rPr>
        <w:t>Fig. 5</w:t>
      </w:r>
      <w:r w:rsidR="00B45603" w:rsidRPr="006C734F">
        <w:rPr>
          <w:rFonts w:ascii="Times New Roman" w:hAnsi="Times New Roman" w:cs="Times New Roman"/>
          <w:sz w:val="20"/>
          <w:szCs w:val="20"/>
        </w:rPr>
        <w:t xml:space="preserve"> A. DPV curves for increasing paraoxon concentrations: (a) 5 nmol L</w:t>
      </w:r>
      <w:r w:rsidR="00B45603" w:rsidRPr="006C734F">
        <w:rPr>
          <w:rFonts w:ascii="Times New Roman" w:hAnsi="Times New Roman" w:cs="Times New Roman"/>
          <w:sz w:val="20"/>
          <w:szCs w:val="20"/>
          <w:vertAlign w:val="superscript"/>
        </w:rPr>
        <w:t>-1</w:t>
      </w:r>
      <w:r w:rsidR="00B45603" w:rsidRPr="006C734F">
        <w:rPr>
          <w:rFonts w:ascii="Times New Roman" w:hAnsi="Times New Roman" w:cs="Times New Roman"/>
          <w:sz w:val="20"/>
          <w:szCs w:val="20"/>
        </w:rPr>
        <w:t>; (b) 10 nmol L</w:t>
      </w:r>
      <w:r w:rsidR="00B45603" w:rsidRPr="006C734F">
        <w:rPr>
          <w:rFonts w:ascii="Times New Roman" w:hAnsi="Times New Roman" w:cs="Times New Roman"/>
          <w:sz w:val="20"/>
          <w:szCs w:val="20"/>
          <w:vertAlign w:val="superscript"/>
        </w:rPr>
        <w:t>-1</w:t>
      </w:r>
      <w:r w:rsidR="00B45603" w:rsidRPr="006C734F">
        <w:rPr>
          <w:rFonts w:ascii="Times New Roman" w:hAnsi="Times New Roman" w:cs="Times New Roman"/>
          <w:sz w:val="20"/>
          <w:szCs w:val="20"/>
        </w:rPr>
        <w:t>; (c) 20 nmol L</w:t>
      </w:r>
      <w:r w:rsidR="00B45603" w:rsidRPr="006C734F">
        <w:rPr>
          <w:rFonts w:ascii="Times New Roman" w:hAnsi="Times New Roman" w:cs="Times New Roman"/>
          <w:sz w:val="20"/>
          <w:szCs w:val="20"/>
          <w:vertAlign w:val="superscript"/>
        </w:rPr>
        <w:t>-1</w:t>
      </w:r>
      <w:r w:rsidR="00B45603" w:rsidRPr="006C734F">
        <w:rPr>
          <w:rFonts w:ascii="Times New Roman" w:hAnsi="Times New Roman" w:cs="Times New Roman"/>
          <w:sz w:val="20"/>
          <w:szCs w:val="20"/>
        </w:rPr>
        <w:t>; (d) 40 nmol L</w:t>
      </w:r>
      <w:r w:rsidR="00B45603" w:rsidRPr="006C734F">
        <w:rPr>
          <w:rFonts w:ascii="Times New Roman" w:hAnsi="Times New Roman" w:cs="Times New Roman"/>
          <w:sz w:val="20"/>
          <w:szCs w:val="20"/>
          <w:vertAlign w:val="superscript"/>
        </w:rPr>
        <w:t>-1</w:t>
      </w:r>
      <w:r w:rsidR="00B45603" w:rsidRPr="006C734F">
        <w:rPr>
          <w:rFonts w:ascii="Times New Roman" w:hAnsi="Times New Roman" w:cs="Times New Roman"/>
          <w:sz w:val="20"/>
          <w:szCs w:val="20"/>
        </w:rPr>
        <w:t>; (d) 80 nmol L</w:t>
      </w:r>
      <w:r w:rsidR="00B45603" w:rsidRPr="006C734F">
        <w:rPr>
          <w:rFonts w:ascii="Times New Roman" w:hAnsi="Times New Roman" w:cs="Times New Roman"/>
          <w:sz w:val="20"/>
          <w:szCs w:val="20"/>
          <w:vertAlign w:val="superscript"/>
        </w:rPr>
        <w:t>-1</w:t>
      </w:r>
      <w:r w:rsidR="00B45603" w:rsidRPr="006C734F">
        <w:rPr>
          <w:rFonts w:ascii="Times New Roman" w:hAnsi="Times New Roman" w:cs="Times New Roman"/>
          <w:sz w:val="20"/>
          <w:szCs w:val="20"/>
        </w:rPr>
        <w:t>; (e) 120 nmol L</w:t>
      </w:r>
      <w:r w:rsidR="00B45603" w:rsidRPr="006C734F">
        <w:rPr>
          <w:rFonts w:ascii="Times New Roman" w:hAnsi="Times New Roman" w:cs="Times New Roman"/>
          <w:sz w:val="20"/>
          <w:szCs w:val="20"/>
          <w:vertAlign w:val="superscript"/>
        </w:rPr>
        <w:t>-1</w:t>
      </w:r>
      <w:r w:rsidR="00B45603" w:rsidRPr="006C734F">
        <w:rPr>
          <w:rFonts w:ascii="Times New Roman" w:hAnsi="Times New Roman" w:cs="Times New Roman"/>
          <w:sz w:val="20"/>
          <w:szCs w:val="20"/>
        </w:rPr>
        <w:t>; (f) 160 nmol L</w:t>
      </w:r>
      <w:r w:rsidR="00B45603" w:rsidRPr="006C734F">
        <w:rPr>
          <w:rFonts w:ascii="Times New Roman" w:hAnsi="Times New Roman" w:cs="Times New Roman"/>
          <w:sz w:val="20"/>
          <w:szCs w:val="20"/>
          <w:vertAlign w:val="superscript"/>
        </w:rPr>
        <w:t>-1</w:t>
      </w:r>
      <w:r w:rsidR="00B45603" w:rsidRPr="006C734F">
        <w:rPr>
          <w:rFonts w:ascii="Times New Roman" w:hAnsi="Times New Roman" w:cs="Times New Roman"/>
          <w:sz w:val="20"/>
          <w:szCs w:val="20"/>
        </w:rPr>
        <w:t>; (g) 200 nmol L</w:t>
      </w:r>
      <w:r w:rsidR="00B45603" w:rsidRPr="006C734F">
        <w:rPr>
          <w:rFonts w:ascii="Times New Roman" w:hAnsi="Times New Roman" w:cs="Times New Roman"/>
          <w:sz w:val="20"/>
          <w:szCs w:val="20"/>
          <w:vertAlign w:val="superscript"/>
        </w:rPr>
        <w:t>-1</w:t>
      </w:r>
      <w:r w:rsidR="00B45603" w:rsidRPr="006C734F">
        <w:rPr>
          <w:rFonts w:ascii="Times New Roman" w:hAnsi="Times New Roman" w:cs="Times New Roman"/>
          <w:sz w:val="20"/>
          <w:szCs w:val="20"/>
        </w:rPr>
        <w:t>; (h) 240 nmol L</w:t>
      </w:r>
      <w:r w:rsidR="00B45603" w:rsidRPr="006C734F">
        <w:rPr>
          <w:rFonts w:ascii="Times New Roman" w:hAnsi="Times New Roman" w:cs="Times New Roman"/>
          <w:sz w:val="20"/>
          <w:szCs w:val="20"/>
          <w:vertAlign w:val="superscript"/>
        </w:rPr>
        <w:t>-1</w:t>
      </w:r>
      <w:r w:rsidR="00B45603" w:rsidRPr="006C734F">
        <w:rPr>
          <w:rFonts w:ascii="Times New Roman" w:hAnsi="Times New Roman" w:cs="Times New Roman"/>
          <w:sz w:val="20"/>
          <w:szCs w:val="20"/>
        </w:rPr>
        <w:t>; (i) 280 nmol L</w:t>
      </w:r>
      <w:r w:rsidR="00B45603" w:rsidRPr="006C734F">
        <w:rPr>
          <w:rFonts w:ascii="Times New Roman" w:hAnsi="Times New Roman" w:cs="Times New Roman"/>
          <w:sz w:val="20"/>
          <w:szCs w:val="20"/>
          <w:vertAlign w:val="superscript"/>
        </w:rPr>
        <w:t>-1</w:t>
      </w:r>
      <w:r w:rsidR="00B45603" w:rsidRPr="006C734F">
        <w:rPr>
          <w:rFonts w:ascii="Times New Roman" w:hAnsi="Times New Roman" w:cs="Times New Roman"/>
          <w:sz w:val="20"/>
          <w:szCs w:val="20"/>
        </w:rPr>
        <w:t>. Britton-Robinson buffer pH 6. Ambient temperature. B. Calibration curve for paraoxon determination.</w:t>
      </w:r>
      <w:r w:rsidR="00652CDB" w:rsidRPr="006C734F">
        <w:rPr>
          <w:rFonts w:ascii="Times New Roman" w:hAnsi="Times New Roman" w:cs="Times New Roman"/>
          <w:sz w:val="20"/>
          <w:szCs w:val="20"/>
        </w:rPr>
        <w:t xml:space="preserve"> Peak potential -0.45 V vs. Ag, </w:t>
      </w:r>
      <w:proofErr w:type="spellStart"/>
      <w:r w:rsidR="00652CDB" w:rsidRPr="006C734F">
        <w:rPr>
          <w:rFonts w:ascii="Times New Roman" w:hAnsi="Times New Roman" w:cs="Times New Roman"/>
          <w:sz w:val="20"/>
          <w:szCs w:val="20"/>
        </w:rPr>
        <w:t>Ag</w:t>
      </w:r>
      <w:r w:rsidR="0009330E" w:rsidRPr="006C734F">
        <w:rPr>
          <w:rFonts w:ascii="Times New Roman" w:hAnsi="Times New Roman" w:cs="Times New Roman"/>
          <w:sz w:val="20"/>
          <w:szCs w:val="20"/>
        </w:rPr>
        <w:t>Cl</w:t>
      </w:r>
      <w:proofErr w:type="spellEnd"/>
      <w:r w:rsidR="0009330E" w:rsidRPr="006C734F">
        <w:rPr>
          <w:rFonts w:ascii="Times New Roman" w:hAnsi="Times New Roman" w:cs="Times New Roman"/>
          <w:sz w:val="20"/>
          <w:szCs w:val="20"/>
        </w:rPr>
        <w:t>/</w:t>
      </w:r>
      <w:proofErr w:type="spellStart"/>
      <w:r w:rsidR="0009330E" w:rsidRPr="006C734F">
        <w:rPr>
          <w:rFonts w:ascii="Times New Roman" w:hAnsi="Times New Roman" w:cs="Times New Roman"/>
          <w:sz w:val="20"/>
          <w:szCs w:val="20"/>
        </w:rPr>
        <w:t>K</w:t>
      </w:r>
      <w:r w:rsidR="00652CDB" w:rsidRPr="006C734F">
        <w:rPr>
          <w:rFonts w:ascii="Times New Roman" w:hAnsi="Times New Roman" w:cs="Times New Roman"/>
          <w:sz w:val="20"/>
          <w:szCs w:val="20"/>
        </w:rPr>
        <w:t>Cl</w:t>
      </w:r>
      <w:r w:rsidR="00652CDB" w:rsidRPr="006C734F">
        <w:rPr>
          <w:rFonts w:ascii="Times New Roman" w:hAnsi="Times New Roman" w:cs="Times New Roman"/>
          <w:sz w:val="20"/>
          <w:szCs w:val="20"/>
          <w:vertAlign w:val="subscript"/>
        </w:rPr>
        <w:t>sat</w:t>
      </w:r>
      <w:proofErr w:type="spellEnd"/>
      <w:r w:rsidR="00652CDB" w:rsidRPr="006C734F">
        <w:rPr>
          <w:rFonts w:ascii="Times New Roman" w:hAnsi="Times New Roman" w:cs="Times New Roman"/>
          <w:sz w:val="20"/>
          <w:szCs w:val="20"/>
        </w:rPr>
        <w:t>.</w:t>
      </w:r>
    </w:p>
    <w:p w14:paraId="65A56D7D" w14:textId="36485418" w:rsidR="00D062A6" w:rsidRPr="006C734F" w:rsidRDefault="00F20B51" w:rsidP="00633DC9">
      <w:pPr>
        <w:pStyle w:val="NoSpacing"/>
        <w:ind w:firstLine="426"/>
        <w:jc w:val="both"/>
        <w:rPr>
          <w:rFonts w:ascii="Times New Roman" w:hAnsi="Times New Roman" w:cs="Times New Roman"/>
          <w:sz w:val="20"/>
          <w:szCs w:val="20"/>
        </w:rPr>
      </w:pPr>
      <w:r w:rsidRPr="006C734F">
        <w:rPr>
          <w:rFonts w:ascii="Times New Roman" w:hAnsi="Times New Roman" w:cs="Times New Roman"/>
          <w:sz w:val="20"/>
          <w:szCs w:val="20"/>
        </w:rPr>
        <w:lastRenderedPageBreak/>
        <w:t xml:space="preserve">The peak current, recorded at a potential of -0.45 V vs. Ag, </w:t>
      </w:r>
      <w:proofErr w:type="spellStart"/>
      <w:r w:rsidRPr="006C734F">
        <w:rPr>
          <w:rFonts w:ascii="Times New Roman" w:hAnsi="Times New Roman" w:cs="Times New Roman"/>
          <w:sz w:val="20"/>
          <w:szCs w:val="20"/>
        </w:rPr>
        <w:t>AgCl</w:t>
      </w:r>
      <w:proofErr w:type="spellEnd"/>
      <w:r w:rsidRPr="006C734F">
        <w:rPr>
          <w:rFonts w:ascii="Times New Roman" w:hAnsi="Times New Roman" w:cs="Times New Roman"/>
          <w:sz w:val="20"/>
          <w:szCs w:val="20"/>
        </w:rPr>
        <w:t>/</w:t>
      </w:r>
      <w:proofErr w:type="spellStart"/>
      <w:r w:rsidRPr="006C734F">
        <w:rPr>
          <w:rFonts w:ascii="Times New Roman" w:hAnsi="Times New Roman" w:cs="Times New Roman"/>
          <w:sz w:val="20"/>
          <w:szCs w:val="20"/>
        </w:rPr>
        <w:t>KCl</w:t>
      </w:r>
      <w:r w:rsidRPr="006C734F">
        <w:rPr>
          <w:rFonts w:ascii="Times New Roman" w:hAnsi="Times New Roman" w:cs="Times New Roman"/>
          <w:sz w:val="20"/>
          <w:szCs w:val="20"/>
          <w:vertAlign w:val="subscript"/>
        </w:rPr>
        <w:t>sat</w:t>
      </w:r>
      <w:proofErr w:type="spellEnd"/>
      <w:r w:rsidRPr="006C734F">
        <w:rPr>
          <w:rFonts w:ascii="Times New Roman" w:hAnsi="Times New Roman" w:cs="Times New Roman"/>
          <w:sz w:val="20"/>
          <w:szCs w:val="20"/>
        </w:rPr>
        <w:t xml:space="preserve"> </w:t>
      </w:r>
      <w:r w:rsidR="00B45603" w:rsidRPr="006C734F">
        <w:rPr>
          <w:rFonts w:ascii="Times New Roman" w:hAnsi="Times New Roman" w:cs="Times New Roman"/>
          <w:sz w:val="20"/>
          <w:szCs w:val="20"/>
        </w:rPr>
        <w:t>was proportional to the paraoxon concentration in the linear range of 5 nmol L</w:t>
      </w:r>
      <w:r w:rsidR="00B45603" w:rsidRPr="006C734F">
        <w:rPr>
          <w:rFonts w:ascii="Times New Roman" w:hAnsi="Times New Roman" w:cs="Times New Roman"/>
          <w:sz w:val="20"/>
          <w:szCs w:val="20"/>
          <w:vertAlign w:val="superscript"/>
        </w:rPr>
        <w:t>-1</w:t>
      </w:r>
      <w:r w:rsidR="00B45603" w:rsidRPr="006C734F">
        <w:rPr>
          <w:rFonts w:ascii="Times New Roman" w:hAnsi="Times New Roman" w:cs="Times New Roman"/>
          <w:sz w:val="20"/>
          <w:szCs w:val="20"/>
        </w:rPr>
        <w:t xml:space="preserve"> to 40 nmol L</w:t>
      </w:r>
      <w:r w:rsidR="00B45603" w:rsidRPr="006C734F">
        <w:rPr>
          <w:rFonts w:ascii="Times New Roman" w:hAnsi="Times New Roman" w:cs="Times New Roman"/>
          <w:sz w:val="20"/>
          <w:szCs w:val="20"/>
          <w:vertAlign w:val="superscript"/>
        </w:rPr>
        <w:t>-1</w:t>
      </w:r>
      <w:r w:rsidR="00B45603" w:rsidRPr="006C734F">
        <w:rPr>
          <w:rFonts w:ascii="Times New Roman" w:hAnsi="Times New Roman" w:cs="Times New Roman"/>
          <w:sz w:val="20"/>
          <w:szCs w:val="20"/>
        </w:rPr>
        <w:t xml:space="preserve"> with a correlation coefficient of 0.9887. The sensitivity of the determination, defined as the slope of the linear part</w:t>
      </w:r>
      <w:r w:rsidR="00633DC9" w:rsidRPr="006C734F">
        <w:rPr>
          <w:rFonts w:ascii="Times New Roman" w:hAnsi="Times New Roman" w:cs="Times New Roman"/>
          <w:sz w:val="20"/>
          <w:szCs w:val="20"/>
        </w:rPr>
        <w:t xml:space="preserve"> </w:t>
      </w:r>
      <w:r w:rsidR="00B45603" w:rsidRPr="006C734F">
        <w:rPr>
          <w:rFonts w:ascii="Times New Roman" w:hAnsi="Times New Roman" w:cs="Times New Roman"/>
          <w:sz w:val="20"/>
          <w:szCs w:val="20"/>
        </w:rPr>
        <w:t>of the calibration plot was found to be 1.19 nA L nmol</w:t>
      </w:r>
      <w:r w:rsidR="00B45603" w:rsidRPr="006C734F">
        <w:rPr>
          <w:rFonts w:ascii="Times New Roman" w:hAnsi="Times New Roman" w:cs="Times New Roman"/>
          <w:sz w:val="20"/>
          <w:szCs w:val="20"/>
          <w:vertAlign w:val="superscript"/>
        </w:rPr>
        <w:t>-1</w:t>
      </w:r>
      <w:r w:rsidR="00B45603" w:rsidRPr="006C734F">
        <w:rPr>
          <w:rFonts w:ascii="Times New Roman" w:hAnsi="Times New Roman" w:cs="Times New Roman"/>
          <w:sz w:val="20"/>
          <w:szCs w:val="20"/>
        </w:rPr>
        <w:t>. The limit of detection (LOD), determined using the criterion S/N=3 was 2 nmol L</w:t>
      </w:r>
      <w:r w:rsidR="00B45603" w:rsidRPr="006C734F">
        <w:rPr>
          <w:rFonts w:ascii="Times New Roman" w:hAnsi="Times New Roman" w:cs="Times New Roman"/>
          <w:sz w:val="20"/>
          <w:szCs w:val="20"/>
          <w:vertAlign w:val="superscript"/>
        </w:rPr>
        <w:t>-1</w:t>
      </w:r>
      <w:r w:rsidR="00B45603" w:rsidRPr="006C734F">
        <w:rPr>
          <w:rFonts w:ascii="Times New Roman" w:hAnsi="Times New Roman" w:cs="Times New Roman"/>
          <w:sz w:val="20"/>
          <w:szCs w:val="20"/>
        </w:rPr>
        <w:t xml:space="preserve">. This LOD is comparable with the LOD attained by some of the inhibition-based cholinesterases electrochemical sensors </w:t>
      </w:r>
      <w:r w:rsidR="00753C77" w:rsidRPr="006C734F">
        <w:rPr>
          <w:rFonts w:ascii="Times New Roman" w:hAnsi="Times New Roman" w:cs="Times New Roman"/>
          <w:sz w:val="20"/>
          <w:szCs w:val="20"/>
        </w:rPr>
        <w:t>for paraoxon determination [27-2</w:t>
      </w:r>
      <w:r w:rsidR="00B45603" w:rsidRPr="006C734F">
        <w:rPr>
          <w:rFonts w:ascii="Times New Roman" w:hAnsi="Times New Roman" w:cs="Times New Roman"/>
          <w:sz w:val="20"/>
          <w:szCs w:val="20"/>
        </w:rPr>
        <w:t xml:space="preserve">9] and lower than the LOD reached by the OPH-modified </w:t>
      </w:r>
      <w:r w:rsidR="00753C77" w:rsidRPr="006C734F">
        <w:rPr>
          <w:rFonts w:ascii="Times New Roman" w:hAnsi="Times New Roman" w:cs="Times New Roman"/>
          <w:sz w:val="20"/>
          <w:szCs w:val="20"/>
        </w:rPr>
        <w:t>sensors [30-35</w:t>
      </w:r>
      <w:r w:rsidR="00B45603" w:rsidRPr="006C734F">
        <w:rPr>
          <w:rFonts w:ascii="Times New Roman" w:hAnsi="Times New Roman" w:cs="Times New Roman"/>
          <w:sz w:val="20"/>
          <w:szCs w:val="20"/>
        </w:rPr>
        <w:t xml:space="preserve">], as shown in Table 2. Thus, the suggested graphite immobilized Bi-film electrode </w:t>
      </w:r>
      <w:r w:rsidR="006358EB" w:rsidRPr="006C734F">
        <w:rPr>
          <w:rFonts w:ascii="Times New Roman" w:hAnsi="Times New Roman" w:cs="Times New Roman"/>
          <w:sz w:val="20"/>
          <w:szCs w:val="20"/>
        </w:rPr>
        <w:t>can</w:t>
      </w:r>
      <w:r w:rsidR="00B45603" w:rsidRPr="006C734F">
        <w:rPr>
          <w:rFonts w:ascii="Times New Roman" w:hAnsi="Times New Roman" w:cs="Times New Roman"/>
          <w:sz w:val="20"/>
          <w:szCs w:val="20"/>
        </w:rPr>
        <w:t xml:space="preserve"> be considered as suitable for paraoxon determination. In addition, it is stable and renewable, in contrast to the electrochemical biosensors. The stability of the Bi/Gr/GCE was confirmed by performing 25 consecutive measurements of paraoxon 40 nmol L</w:t>
      </w:r>
      <w:r w:rsidR="00B45603" w:rsidRPr="006C734F">
        <w:rPr>
          <w:rFonts w:ascii="Times New Roman" w:hAnsi="Times New Roman" w:cs="Times New Roman"/>
          <w:sz w:val="20"/>
          <w:szCs w:val="20"/>
          <w:vertAlign w:val="superscript"/>
        </w:rPr>
        <w:t>-1</w:t>
      </w:r>
      <w:r w:rsidR="00B45603" w:rsidRPr="006C734F">
        <w:rPr>
          <w:rFonts w:ascii="Times New Roman" w:hAnsi="Times New Roman" w:cs="Times New Roman"/>
          <w:sz w:val="20"/>
          <w:szCs w:val="20"/>
        </w:rPr>
        <w:t xml:space="preserve"> with a R.S.D. of 4.26%. The repeatability and the reproducibility of the paraoxon determination (40 nmol L</w:t>
      </w:r>
      <w:r w:rsidR="00B45603" w:rsidRPr="006C734F">
        <w:rPr>
          <w:rFonts w:ascii="Times New Roman" w:hAnsi="Times New Roman" w:cs="Times New Roman"/>
          <w:sz w:val="20"/>
          <w:szCs w:val="20"/>
          <w:vertAlign w:val="superscript"/>
        </w:rPr>
        <w:t>-1</w:t>
      </w:r>
      <w:r w:rsidR="00B45603" w:rsidRPr="006C734F">
        <w:rPr>
          <w:rFonts w:ascii="Times New Roman" w:hAnsi="Times New Roman" w:cs="Times New Roman"/>
          <w:sz w:val="20"/>
          <w:szCs w:val="20"/>
        </w:rPr>
        <w:t>, n=5) were found to be very satisfactory (R.S.D. 1.56% and 4.42%, respectively). The Bi/Gr/GCE was also successfully applied for paraoxon determination in spiked tap water samples wit</w:t>
      </w:r>
      <w:r w:rsidR="00D062A6" w:rsidRPr="006C734F">
        <w:rPr>
          <w:rFonts w:ascii="Times New Roman" w:hAnsi="Times New Roman" w:cs="Times New Roman"/>
          <w:sz w:val="20"/>
          <w:szCs w:val="20"/>
        </w:rPr>
        <w:t xml:space="preserve">h acceptable recovery of 99.2%., thus confirming the accuracy of the determination. </w:t>
      </w:r>
      <w:r w:rsidR="00B45603" w:rsidRPr="006C734F">
        <w:rPr>
          <w:rFonts w:ascii="Times New Roman" w:hAnsi="Times New Roman" w:cs="Times New Roman"/>
          <w:sz w:val="20"/>
          <w:szCs w:val="20"/>
        </w:rPr>
        <w:t xml:space="preserve">The recovery was calculated as the ratio of the mean value of the paraoxon concentration found and the paraoxon concentration added midway the working concentration range (20 </w:t>
      </w:r>
      <w:proofErr w:type="spellStart"/>
      <w:r w:rsidR="00B45603" w:rsidRPr="006C734F">
        <w:rPr>
          <w:rFonts w:ascii="Times New Roman" w:hAnsi="Times New Roman" w:cs="Times New Roman"/>
          <w:sz w:val="20"/>
          <w:szCs w:val="20"/>
        </w:rPr>
        <w:t>nmol</w:t>
      </w:r>
      <w:proofErr w:type="spellEnd"/>
      <w:r w:rsidR="00B45603" w:rsidRPr="006C734F">
        <w:rPr>
          <w:rFonts w:ascii="Times New Roman" w:hAnsi="Times New Roman" w:cs="Times New Roman"/>
          <w:sz w:val="20"/>
          <w:szCs w:val="20"/>
        </w:rPr>
        <w:t xml:space="preserve"> L</w:t>
      </w:r>
      <w:r w:rsidR="00B45603" w:rsidRPr="006C734F">
        <w:rPr>
          <w:rFonts w:ascii="Times New Roman" w:hAnsi="Times New Roman" w:cs="Times New Roman"/>
          <w:sz w:val="20"/>
          <w:szCs w:val="20"/>
          <w:vertAlign w:val="superscript"/>
        </w:rPr>
        <w:t>-1</w:t>
      </w:r>
      <w:r w:rsidR="00D062A6" w:rsidRPr="006C734F">
        <w:rPr>
          <w:rFonts w:ascii="Times New Roman" w:hAnsi="Times New Roman" w:cs="Times New Roman"/>
          <w:sz w:val="20"/>
          <w:szCs w:val="20"/>
        </w:rPr>
        <w:t>, n=3).</w:t>
      </w:r>
      <w:r w:rsidR="00F959DA" w:rsidRPr="006C734F">
        <w:rPr>
          <w:rFonts w:ascii="Times New Roman" w:hAnsi="Times New Roman" w:cs="Times New Roman"/>
          <w:sz w:val="20"/>
          <w:szCs w:val="20"/>
        </w:rPr>
        <w:t xml:space="preserve"> The spiked sample was prepared by adding, to the tap water, of a known amount of diluted paraoxon analytical standard.</w:t>
      </w:r>
    </w:p>
    <w:p w14:paraId="50480A2B" w14:textId="56DCD211" w:rsidR="00B11113" w:rsidRPr="006C734F" w:rsidRDefault="002845CD" w:rsidP="00633DC9">
      <w:pPr>
        <w:pStyle w:val="NoSpacing"/>
        <w:ind w:firstLine="426"/>
        <w:jc w:val="both"/>
        <w:rPr>
          <w:rFonts w:ascii="Times New Roman" w:hAnsi="Times New Roman" w:cs="Times New Roman"/>
          <w:sz w:val="20"/>
          <w:szCs w:val="20"/>
        </w:rPr>
      </w:pPr>
      <w:r w:rsidRPr="006C734F">
        <w:rPr>
          <w:rFonts w:ascii="Times New Roman" w:hAnsi="Times New Roman" w:cs="Times New Roman"/>
          <w:sz w:val="20"/>
          <w:szCs w:val="20"/>
        </w:rPr>
        <w:t>P</w:t>
      </w:r>
      <w:r w:rsidR="00B45603" w:rsidRPr="006C734F">
        <w:rPr>
          <w:rFonts w:ascii="Times New Roman" w:hAnsi="Times New Roman" w:cs="Times New Roman"/>
          <w:sz w:val="20"/>
          <w:szCs w:val="20"/>
        </w:rPr>
        <w:t xml:space="preserve">araoxon determination was affected by the presence of PNP and other nitrophenyl-substituted OPs, like </w:t>
      </w:r>
      <w:r w:rsidR="009F269F" w:rsidRPr="006C734F">
        <w:rPr>
          <w:rFonts w:ascii="Times New Roman" w:hAnsi="Times New Roman" w:cs="Times New Roman"/>
          <w:sz w:val="20"/>
          <w:szCs w:val="20"/>
        </w:rPr>
        <w:t>methyl</w:t>
      </w:r>
      <w:r w:rsidR="00B45603" w:rsidRPr="006C734F">
        <w:rPr>
          <w:rFonts w:ascii="Times New Roman" w:hAnsi="Times New Roman" w:cs="Times New Roman"/>
          <w:sz w:val="20"/>
          <w:szCs w:val="20"/>
        </w:rPr>
        <w:t xml:space="preserve"> parathion and </w:t>
      </w:r>
      <w:r w:rsidR="009F269F" w:rsidRPr="006C734F">
        <w:rPr>
          <w:rFonts w:ascii="Times New Roman" w:hAnsi="Times New Roman" w:cs="Times New Roman"/>
          <w:sz w:val="20"/>
          <w:szCs w:val="20"/>
        </w:rPr>
        <w:t>ethyl</w:t>
      </w:r>
      <w:r w:rsidR="00B45603" w:rsidRPr="006C734F">
        <w:rPr>
          <w:rFonts w:ascii="Times New Roman" w:hAnsi="Times New Roman" w:cs="Times New Roman"/>
          <w:sz w:val="20"/>
          <w:szCs w:val="20"/>
        </w:rPr>
        <w:t xml:space="preserve"> parathion. The simultaneous determination of the </w:t>
      </w:r>
      <w:r w:rsidR="009F269F" w:rsidRPr="006C734F">
        <w:rPr>
          <w:rFonts w:ascii="Times New Roman" w:hAnsi="Times New Roman" w:cs="Times New Roman"/>
          <w:sz w:val="20"/>
          <w:szCs w:val="20"/>
        </w:rPr>
        <w:t>nitro aromatic</w:t>
      </w:r>
      <w:r w:rsidR="00B45603" w:rsidRPr="006C734F">
        <w:rPr>
          <w:rFonts w:ascii="Times New Roman" w:hAnsi="Times New Roman" w:cs="Times New Roman"/>
          <w:sz w:val="20"/>
          <w:szCs w:val="20"/>
        </w:rPr>
        <w:t xml:space="preserve"> OPs by electrochemical (bio)sensors remains an analytical challenge.</w:t>
      </w:r>
      <w:r w:rsidR="00603186" w:rsidRPr="006C734F">
        <w:rPr>
          <w:rFonts w:ascii="Times New Roman" w:hAnsi="Times New Roman" w:cs="Times New Roman"/>
          <w:sz w:val="20"/>
          <w:szCs w:val="20"/>
        </w:rPr>
        <w:t xml:space="preserve"> Interferences due to the presence of metal ions such as Zn</w:t>
      </w:r>
      <w:r w:rsidR="00603186" w:rsidRPr="006C734F">
        <w:rPr>
          <w:rFonts w:ascii="Times New Roman" w:hAnsi="Times New Roman" w:cs="Times New Roman"/>
          <w:sz w:val="20"/>
          <w:szCs w:val="20"/>
          <w:vertAlign w:val="superscript"/>
        </w:rPr>
        <w:t>2+</w:t>
      </w:r>
      <w:r w:rsidR="00603186" w:rsidRPr="006C734F">
        <w:rPr>
          <w:rFonts w:ascii="Times New Roman" w:hAnsi="Times New Roman" w:cs="Times New Roman"/>
          <w:sz w:val="20"/>
          <w:szCs w:val="20"/>
        </w:rPr>
        <w:t>, Pb</w:t>
      </w:r>
      <w:r w:rsidR="00603186" w:rsidRPr="006C734F">
        <w:rPr>
          <w:rFonts w:ascii="Times New Roman" w:hAnsi="Times New Roman" w:cs="Times New Roman"/>
          <w:sz w:val="20"/>
          <w:szCs w:val="20"/>
          <w:vertAlign w:val="superscript"/>
        </w:rPr>
        <w:t>2+</w:t>
      </w:r>
      <w:r w:rsidR="00603186" w:rsidRPr="006C734F">
        <w:rPr>
          <w:rFonts w:ascii="Times New Roman" w:hAnsi="Times New Roman" w:cs="Times New Roman"/>
          <w:sz w:val="20"/>
          <w:szCs w:val="20"/>
        </w:rPr>
        <w:t>, Cd</w:t>
      </w:r>
      <w:r w:rsidR="00603186" w:rsidRPr="006C734F">
        <w:rPr>
          <w:rFonts w:ascii="Times New Roman" w:hAnsi="Times New Roman" w:cs="Times New Roman"/>
          <w:sz w:val="20"/>
          <w:szCs w:val="20"/>
          <w:vertAlign w:val="superscript"/>
        </w:rPr>
        <w:t>2+</w:t>
      </w:r>
      <w:r w:rsidR="00603186" w:rsidRPr="006C734F">
        <w:rPr>
          <w:rFonts w:ascii="Times New Roman" w:hAnsi="Times New Roman" w:cs="Times New Roman"/>
          <w:sz w:val="20"/>
          <w:szCs w:val="20"/>
        </w:rPr>
        <w:t>, As</w:t>
      </w:r>
      <w:r w:rsidR="00603186" w:rsidRPr="006C734F">
        <w:rPr>
          <w:rFonts w:ascii="Times New Roman" w:hAnsi="Times New Roman" w:cs="Times New Roman"/>
          <w:sz w:val="20"/>
          <w:szCs w:val="20"/>
          <w:vertAlign w:val="superscript"/>
        </w:rPr>
        <w:t>3+</w:t>
      </w:r>
      <w:r w:rsidR="00603186" w:rsidRPr="006C734F">
        <w:rPr>
          <w:rFonts w:ascii="Times New Roman" w:hAnsi="Times New Roman" w:cs="Times New Roman"/>
          <w:sz w:val="20"/>
          <w:szCs w:val="20"/>
        </w:rPr>
        <w:t>, Cr</w:t>
      </w:r>
      <w:r w:rsidR="00603186" w:rsidRPr="006C734F">
        <w:rPr>
          <w:rFonts w:ascii="Times New Roman" w:hAnsi="Times New Roman" w:cs="Times New Roman"/>
          <w:sz w:val="20"/>
          <w:szCs w:val="20"/>
          <w:vertAlign w:val="superscript"/>
        </w:rPr>
        <w:t>3+</w:t>
      </w:r>
      <w:r w:rsidR="00603186" w:rsidRPr="006C734F">
        <w:rPr>
          <w:rFonts w:ascii="Times New Roman" w:hAnsi="Times New Roman" w:cs="Times New Roman"/>
          <w:sz w:val="20"/>
          <w:szCs w:val="20"/>
        </w:rPr>
        <w:t>, and Co</w:t>
      </w:r>
      <w:r w:rsidR="00603186" w:rsidRPr="006C734F">
        <w:rPr>
          <w:rFonts w:ascii="Times New Roman" w:hAnsi="Times New Roman" w:cs="Times New Roman"/>
          <w:sz w:val="20"/>
          <w:szCs w:val="20"/>
          <w:vertAlign w:val="superscript"/>
        </w:rPr>
        <w:t>2+</w:t>
      </w:r>
      <w:r w:rsidR="00603186" w:rsidRPr="006C734F">
        <w:rPr>
          <w:rFonts w:ascii="Times New Roman" w:hAnsi="Times New Roman" w:cs="Times New Roman"/>
          <w:sz w:val="20"/>
          <w:szCs w:val="20"/>
        </w:rPr>
        <w:t xml:space="preserve"> (1 ppm of each) were not observed. The recorded DPV curves at the mentioned above optimal conditions for paraoxon determination demonstrated that cathodic peaks for As</w:t>
      </w:r>
      <w:r w:rsidR="00603186" w:rsidRPr="006C734F">
        <w:rPr>
          <w:rFonts w:ascii="Times New Roman" w:hAnsi="Times New Roman" w:cs="Times New Roman"/>
          <w:sz w:val="20"/>
          <w:szCs w:val="20"/>
          <w:vertAlign w:val="superscript"/>
        </w:rPr>
        <w:t>3+</w:t>
      </w:r>
      <w:r w:rsidR="00603186" w:rsidRPr="006C734F">
        <w:rPr>
          <w:rFonts w:ascii="Times New Roman" w:hAnsi="Times New Roman" w:cs="Times New Roman"/>
          <w:sz w:val="20"/>
          <w:szCs w:val="20"/>
        </w:rPr>
        <w:t>, Cr</w:t>
      </w:r>
      <w:r w:rsidR="00603186" w:rsidRPr="006C734F">
        <w:rPr>
          <w:rFonts w:ascii="Times New Roman" w:hAnsi="Times New Roman" w:cs="Times New Roman"/>
          <w:sz w:val="20"/>
          <w:szCs w:val="20"/>
          <w:vertAlign w:val="superscript"/>
        </w:rPr>
        <w:t>3+</w:t>
      </w:r>
      <w:r w:rsidR="00603186" w:rsidRPr="006C734F">
        <w:rPr>
          <w:rFonts w:ascii="Times New Roman" w:hAnsi="Times New Roman" w:cs="Times New Roman"/>
          <w:sz w:val="20"/>
          <w:szCs w:val="20"/>
        </w:rPr>
        <w:t>, and Co</w:t>
      </w:r>
      <w:r w:rsidR="00603186" w:rsidRPr="006C734F">
        <w:rPr>
          <w:rFonts w:ascii="Times New Roman" w:hAnsi="Times New Roman" w:cs="Times New Roman"/>
          <w:sz w:val="20"/>
          <w:szCs w:val="20"/>
          <w:vertAlign w:val="superscript"/>
        </w:rPr>
        <w:t>2+</w:t>
      </w:r>
      <w:r w:rsidR="00603186" w:rsidRPr="006C734F">
        <w:rPr>
          <w:rFonts w:ascii="Times New Roman" w:hAnsi="Times New Roman" w:cs="Times New Roman"/>
          <w:sz w:val="20"/>
          <w:szCs w:val="20"/>
        </w:rPr>
        <w:t xml:space="preserve"> reduction do not appear in the investigated potential range (-0.25 V to -1.3 V vs. </w:t>
      </w:r>
      <w:r w:rsidR="00B50637" w:rsidRPr="006C734F">
        <w:rPr>
          <w:rFonts w:ascii="Times New Roman" w:hAnsi="Times New Roman" w:cs="Times New Roman"/>
          <w:sz w:val="20"/>
          <w:szCs w:val="20"/>
        </w:rPr>
        <w:t xml:space="preserve">Ag, </w:t>
      </w:r>
      <w:proofErr w:type="spellStart"/>
      <w:r w:rsidR="00B50637" w:rsidRPr="006C734F">
        <w:rPr>
          <w:rFonts w:ascii="Times New Roman" w:hAnsi="Times New Roman" w:cs="Times New Roman"/>
          <w:sz w:val="20"/>
          <w:szCs w:val="20"/>
        </w:rPr>
        <w:t>AgCl</w:t>
      </w:r>
      <w:proofErr w:type="spellEnd"/>
      <w:r w:rsidR="00B50637" w:rsidRPr="006C734F">
        <w:rPr>
          <w:rFonts w:ascii="Times New Roman" w:hAnsi="Times New Roman" w:cs="Times New Roman"/>
          <w:sz w:val="20"/>
          <w:szCs w:val="20"/>
        </w:rPr>
        <w:t>/</w:t>
      </w:r>
      <w:proofErr w:type="spellStart"/>
      <w:r w:rsidR="00B50637" w:rsidRPr="006C734F">
        <w:rPr>
          <w:rFonts w:ascii="Times New Roman" w:hAnsi="Times New Roman" w:cs="Times New Roman"/>
          <w:sz w:val="20"/>
          <w:szCs w:val="20"/>
        </w:rPr>
        <w:t>KCl</w:t>
      </w:r>
      <w:r w:rsidR="00B50637" w:rsidRPr="006C734F">
        <w:rPr>
          <w:rFonts w:ascii="Times New Roman" w:hAnsi="Times New Roman" w:cs="Times New Roman"/>
          <w:sz w:val="20"/>
          <w:szCs w:val="20"/>
          <w:vertAlign w:val="subscript"/>
        </w:rPr>
        <w:t>sat</w:t>
      </w:r>
      <w:proofErr w:type="spellEnd"/>
      <w:r w:rsidR="00B50637" w:rsidRPr="006C734F">
        <w:rPr>
          <w:rFonts w:ascii="Times New Roman" w:hAnsi="Times New Roman" w:cs="Times New Roman"/>
          <w:sz w:val="20"/>
          <w:szCs w:val="20"/>
        </w:rPr>
        <w:t>), although the peak potentials for Cd</w:t>
      </w:r>
      <w:r w:rsidR="00B50637" w:rsidRPr="006C734F">
        <w:rPr>
          <w:rFonts w:ascii="Times New Roman" w:hAnsi="Times New Roman" w:cs="Times New Roman"/>
          <w:sz w:val="20"/>
          <w:szCs w:val="20"/>
          <w:vertAlign w:val="superscript"/>
        </w:rPr>
        <w:t>2+</w:t>
      </w:r>
      <w:r w:rsidR="00B50637" w:rsidRPr="006C734F">
        <w:rPr>
          <w:rFonts w:ascii="Times New Roman" w:hAnsi="Times New Roman" w:cs="Times New Roman"/>
          <w:sz w:val="20"/>
          <w:szCs w:val="20"/>
        </w:rPr>
        <w:t>, Pb</w:t>
      </w:r>
      <w:r w:rsidR="00B50637" w:rsidRPr="006C734F">
        <w:rPr>
          <w:rFonts w:ascii="Times New Roman" w:hAnsi="Times New Roman" w:cs="Times New Roman"/>
          <w:sz w:val="20"/>
          <w:szCs w:val="20"/>
          <w:vertAlign w:val="superscript"/>
        </w:rPr>
        <w:t>2+</w:t>
      </w:r>
      <w:r w:rsidR="00B50637" w:rsidRPr="006C734F">
        <w:rPr>
          <w:rFonts w:ascii="Times New Roman" w:hAnsi="Times New Roman" w:cs="Times New Roman"/>
          <w:sz w:val="20"/>
          <w:szCs w:val="20"/>
        </w:rPr>
        <w:t>, and Zn</w:t>
      </w:r>
      <w:r w:rsidR="00B50637" w:rsidRPr="006C734F">
        <w:rPr>
          <w:rFonts w:ascii="Times New Roman" w:hAnsi="Times New Roman" w:cs="Times New Roman"/>
          <w:sz w:val="20"/>
          <w:szCs w:val="20"/>
          <w:vertAlign w:val="superscript"/>
        </w:rPr>
        <w:t>2+</w:t>
      </w:r>
      <w:r w:rsidR="00B50637" w:rsidRPr="006C734F">
        <w:rPr>
          <w:rFonts w:ascii="Times New Roman" w:hAnsi="Times New Roman" w:cs="Times New Roman"/>
          <w:sz w:val="20"/>
          <w:szCs w:val="20"/>
        </w:rPr>
        <w:t xml:space="preserve"> reduction were found to be: -0.79 V, -0.98 V, and -1.25 V vs. Ag, </w:t>
      </w:r>
      <w:proofErr w:type="spellStart"/>
      <w:r w:rsidR="00B50637" w:rsidRPr="006C734F">
        <w:rPr>
          <w:rFonts w:ascii="Times New Roman" w:hAnsi="Times New Roman" w:cs="Times New Roman"/>
          <w:sz w:val="20"/>
          <w:szCs w:val="20"/>
        </w:rPr>
        <w:t>AgCl</w:t>
      </w:r>
      <w:proofErr w:type="spellEnd"/>
      <w:r w:rsidR="00B50637" w:rsidRPr="006C734F">
        <w:rPr>
          <w:rFonts w:ascii="Times New Roman" w:hAnsi="Times New Roman" w:cs="Times New Roman"/>
          <w:sz w:val="20"/>
          <w:szCs w:val="20"/>
        </w:rPr>
        <w:t>/</w:t>
      </w:r>
      <w:proofErr w:type="spellStart"/>
      <w:r w:rsidR="00B50637" w:rsidRPr="006C734F">
        <w:rPr>
          <w:rFonts w:ascii="Times New Roman" w:hAnsi="Times New Roman" w:cs="Times New Roman"/>
          <w:sz w:val="20"/>
          <w:szCs w:val="20"/>
        </w:rPr>
        <w:t>KCl</w:t>
      </w:r>
      <w:r w:rsidR="00B50637" w:rsidRPr="006C734F">
        <w:rPr>
          <w:rFonts w:ascii="Times New Roman" w:hAnsi="Times New Roman" w:cs="Times New Roman"/>
          <w:sz w:val="20"/>
          <w:szCs w:val="20"/>
          <w:vertAlign w:val="subscript"/>
        </w:rPr>
        <w:t>sat</w:t>
      </w:r>
      <w:proofErr w:type="spellEnd"/>
      <w:r w:rsidR="002505A5" w:rsidRPr="006C734F">
        <w:rPr>
          <w:rFonts w:ascii="Times New Roman" w:hAnsi="Times New Roman" w:cs="Times New Roman"/>
          <w:sz w:val="20"/>
          <w:szCs w:val="20"/>
        </w:rPr>
        <w:t>, respectively. i.e. too far from the peak potential for paraoxon reduction.</w:t>
      </w:r>
    </w:p>
    <w:p w14:paraId="67152F9A" w14:textId="77777777" w:rsidR="00B45603" w:rsidRPr="006C734F" w:rsidRDefault="00B45603" w:rsidP="00541F4F">
      <w:pPr>
        <w:pStyle w:val="NoSpacing"/>
        <w:jc w:val="both"/>
        <w:rPr>
          <w:rFonts w:ascii="Times New Roman" w:hAnsi="Times New Roman" w:cs="Times New Roman"/>
          <w:sz w:val="20"/>
          <w:szCs w:val="20"/>
        </w:rPr>
      </w:pPr>
    </w:p>
    <w:p w14:paraId="52DC8861" w14:textId="43279414" w:rsidR="00B45603" w:rsidRPr="00314E4C" w:rsidRDefault="00B45603" w:rsidP="00B45603">
      <w:pPr>
        <w:pStyle w:val="NoSpacing"/>
        <w:jc w:val="both"/>
        <w:rPr>
          <w:rFonts w:ascii="Times New Roman" w:hAnsi="Times New Roman" w:cs="Times New Roman"/>
          <w:sz w:val="20"/>
          <w:szCs w:val="20"/>
        </w:rPr>
      </w:pPr>
      <w:r w:rsidRPr="006C734F">
        <w:rPr>
          <w:rFonts w:ascii="Times New Roman" w:hAnsi="Times New Roman" w:cs="Times New Roman"/>
          <w:b/>
          <w:sz w:val="20"/>
          <w:szCs w:val="20"/>
        </w:rPr>
        <w:t>Table 2</w:t>
      </w:r>
      <w:r w:rsidRPr="006C734F">
        <w:rPr>
          <w:rFonts w:ascii="Times New Roman" w:hAnsi="Times New Roman" w:cs="Times New Roman"/>
          <w:sz w:val="20"/>
          <w:szCs w:val="20"/>
        </w:rPr>
        <w:t xml:space="preserve"> </w:t>
      </w:r>
      <w:r w:rsidR="003B51FD" w:rsidRPr="006C734F">
        <w:rPr>
          <w:rFonts w:ascii="Times New Roman" w:hAnsi="Times New Roman" w:cs="Times New Roman"/>
          <w:sz w:val="20"/>
          <w:szCs w:val="20"/>
        </w:rPr>
        <w:t>An overview on the a</w:t>
      </w:r>
      <w:r w:rsidR="0071097D" w:rsidRPr="006C734F">
        <w:rPr>
          <w:rFonts w:ascii="Times New Roman" w:hAnsi="Times New Roman" w:cs="Times New Roman"/>
          <w:sz w:val="20"/>
          <w:szCs w:val="20"/>
        </w:rPr>
        <w:t xml:space="preserve">nalytical </w:t>
      </w:r>
      <w:r w:rsidR="00322DBF" w:rsidRPr="006C734F">
        <w:rPr>
          <w:rFonts w:ascii="Times New Roman" w:hAnsi="Times New Roman" w:cs="Times New Roman"/>
          <w:sz w:val="20"/>
          <w:szCs w:val="20"/>
        </w:rPr>
        <w:t>performances</w:t>
      </w:r>
      <w:r w:rsidR="00DE580E" w:rsidRPr="006C734F">
        <w:rPr>
          <w:rFonts w:ascii="Times New Roman" w:hAnsi="Times New Roman" w:cs="Times New Roman"/>
          <w:sz w:val="20"/>
          <w:szCs w:val="20"/>
        </w:rPr>
        <w:t xml:space="preserve"> of some selected </w:t>
      </w:r>
      <w:r w:rsidRPr="006C734F">
        <w:rPr>
          <w:rFonts w:ascii="Times New Roman" w:hAnsi="Times New Roman" w:cs="Times New Roman"/>
          <w:sz w:val="20"/>
          <w:szCs w:val="20"/>
        </w:rPr>
        <w:t>biosensors for paraoxon determination</w:t>
      </w:r>
      <w:r w:rsidRPr="00314E4C">
        <w:rPr>
          <w:rFonts w:ascii="Times New Roman" w:hAnsi="Times New Roman" w:cs="Times New Roman"/>
          <w:sz w:val="20"/>
          <w:szCs w:val="20"/>
        </w:rPr>
        <w:t>.</w:t>
      </w:r>
    </w:p>
    <w:p w14:paraId="7DF80175" w14:textId="77777777" w:rsidR="00CD30B3" w:rsidRPr="00314E4C" w:rsidRDefault="00CD30B3" w:rsidP="00B45603">
      <w:pPr>
        <w:pStyle w:val="NoSpacing"/>
        <w:jc w:val="both"/>
        <w:rPr>
          <w:rFonts w:ascii="Times New Roman" w:hAnsi="Times New Roman" w:cs="Times New Roman"/>
          <w:sz w:val="20"/>
          <w:szCs w:val="20"/>
        </w:rPr>
      </w:pPr>
    </w:p>
    <w:p w14:paraId="32D0085A" w14:textId="4B192F29" w:rsidR="00B45603" w:rsidRPr="00314E4C" w:rsidRDefault="00B45603" w:rsidP="00B45603">
      <w:pPr>
        <w:pStyle w:val="NoSpacing"/>
        <w:jc w:val="both"/>
        <w:rPr>
          <w:rFonts w:ascii="Times New Roman" w:hAnsi="Times New Roman" w:cs="Times New Roman"/>
          <w:sz w:val="20"/>
          <w:szCs w:val="20"/>
        </w:rPr>
      </w:pPr>
      <w:r w:rsidRPr="00314E4C">
        <w:rPr>
          <w:rFonts w:ascii="Times New Roman" w:hAnsi="Times New Roman" w:cs="Times New Roman"/>
          <w:sz w:val="20"/>
          <w:szCs w:val="20"/>
        </w:rPr>
        <w:t>AChE-acetylcholinesterase; BuChE-butyrylcholinesterase;CB-carbon black; CNTs-carbon nanotubes; CoPC-cobalt phtalocyanine; CP-carbon paste; CS-chitosan; GCE-glassy carbon electrode; MC-</w:t>
      </w:r>
      <w:r w:rsidR="009F269F" w:rsidRPr="00314E4C">
        <w:rPr>
          <w:rFonts w:ascii="Times New Roman" w:hAnsi="Times New Roman" w:cs="Times New Roman"/>
          <w:sz w:val="20"/>
          <w:szCs w:val="20"/>
        </w:rPr>
        <w:t>mesoporous</w:t>
      </w:r>
      <w:r w:rsidRPr="00314E4C">
        <w:rPr>
          <w:rFonts w:ascii="Times New Roman" w:hAnsi="Times New Roman" w:cs="Times New Roman"/>
          <w:sz w:val="20"/>
          <w:szCs w:val="20"/>
        </w:rPr>
        <w:t xml:space="preserve"> carbon; OPH organophosphorus hydrolase; PBNPs-Prussian blue nanoparticles; </w:t>
      </w:r>
      <w:proofErr w:type="spellStart"/>
      <w:r w:rsidRPr="00314E4C">
        <w:rPr>
          <w:rFonts w:ascii="Times New Roman" w:hAnsi="Times New Roman" w:cs="Times New Roman"/>
          <w:sz w:val="20"/>
          <w:szCs w:val="20"/>
        </w:rPr>
        <w:t>PPy</w:t>
      </w:r>
      <w:proofErr w:type="spellEnd"/>
      <w:r w:rsidRPr="00314E4C">
        <w:rPr>
          <w:rFonts w:ascii="Times New Roman" w:hAnsi="Times New Roman" w:cs="Times New Roman"/>
          <w:sz w:val="20"/>
          <w:szCs w:val="20"/>
        </w:rPr>
        <w:t>-poly(pyrrole); SPE-screen printed electrodes; SWCNTs-single wall carbon nanotubes.</w:t>
      </w:r>
    </w:p>
    <w:p w14:paraId="71DD43A0" w14:textId="77777777" w:rsidR="00B45603" w:rsidRPr="00314E4C" w:rsidRDefault="00B45603" w:rsidP="00541F4F">
      <w:pPr>
        <w:pStyle w:val="NoSpacing"/>
        <w:jc w:val="both"/>
        <w:rPr>
          <w:rFonts w:ascii="Times New Roman" w:hAnsi="Times New Roman" w:cs="Times New Roman"/>
          <w:sz w:val="20"/>
          <w:szCs w:val="20"/>
        </w:rPr>
      </w:pPr>
    </w:p>
    <w:tbl>
      <w:tblPr>
        <w:tblStyle w:val="PlainTable2"/>
        <w:tblW w:w="0" w:type="auto"/>
        <w:tblLook w:val="0620" w:firstRow="1" w:lastRow="0" w:firstColumn="0" w:lastColumn="0" w:noHBand="1" w:noVBand="1"/>
      </w:tblPr>
      <w:tblGrid>
        <w:gridCol w:w="2483"/>
        <w:gridCol w:w="1769"/>
        <w:gridCol w:w="1814"/>
        <w:gridCol w:w="1594"/>
        <w:gridCol w:w="1700"/>
      </w:tblGrid>
      <w:tr w:rsidR="0071097D" w:rsidRPr="006C734F" w14:paraId="2B907432" w14:textId="77777777" w:rsidTr="0071097D">
        <w:trPr>
          <w:cnfStyle w:val="100000000000" w:firstRow="1" w:lastRow="0" w:firstColumn="0" w:lastColumn="0" w:oddVBand="0" w:evenVBand="0" w:oddHBand="0" w:evenHBand="0" w:firstRowFirstColumn="0" w:firstRowLastColumn="0" w:lastRowFirstColumn="0" w:lastRowLastColumn="0"/>
        </w:trPr>
        <w:tc>
          <w:tcPr>
            <w:tcW w:w="2483" w:type="dxa"/>
          </w:tcPr>
          <w:p w14:paraId="5B3C465A" w14:textId="000B9C42" w:rsidR="0071097D" w:rsidRPr="006C734F" w:rsidRDefault="0071097D" w:rsidP="006729AB">
            <w:pPr>
              <w:pStyle w:val="NoSpacing"/>
              <w:jc w:val="center"/>
              <w:rPr>
                <w:rFonts w:ascii="Times New Roman" w:hAnsi="Times New Roman" w:cs="Times New Roman"/>
                <w:b w:val="0"/>
                <w:sz w:val="20"/>
                <w:szCs w:val="20"/>
              </w:rPr>
            </w:pPr>
            <w:r w:rsidRPr="006C734F">
              <w:rPr>
                <w:rFonts w:ascii="Times New Roman" w:hAnsi="Times New Roman" w:cs="Times New Roman"/>
                <w:b w:val="0"/>
                <w:sz w:val="20"/>
                <w:szCs w:val="20"/>
              </w:rPr>
              <w:t>Electrode</w:t>
            </w:r>
          </w:p>
        </w:tc>
        <w:tc>
          <w:tcPr>
            <w:tcW w:w="1769" w:type="dxa"/>
          </w:tcPr>
          <w:p w14:paraId="3263E012" w14:textId="5B0635C0" w:rsidR="0071097D" w:rsidRPr="006C734F" w:rsidRDefault="0071097D" w:rsidP="006729AB">
            <w:pPr>
              <w:pStyle w:val="NoSpacing"/>
              <w:jc w:val="center"/>
              <w:rPr>
                <w:rFonts w:ascii="Times New Roman" w:hAnsi="Times New Roman" w:cs="Times New Roman"/>
                <w:b w:val="0"/>
                <w:sz w:val="20"/>
                <w:szCs w:val="20"/>
              </w:rPr>
            </w:pPr>
            <w:r w:rsidRPr="006C734F">
              <w:rPr>
                <w:rFonts w:ascii="Times New Roman" w:hAnsi="Times New Roman" w:cs="Times New Roman"/>
                <w:b w:val="0"/>
                <w:sz w:val="20"/>
                <w:szCs w:val="20"/>
              </w:rPr>
              <w:t>LOD, nmol L</w:t>
            </w:r>
            <w:r w:rsidRPr="006C734F">
              <w:rPr>
                <w:rFonts w:ascii="Times New Roman" w:hAnsi="Times New Roman" w:cs="Times New Roman"/>
                <w:b w:val="0"/>
                <w:sz w:val="20"/>
                <w:szCs w:val="20"/>
                <w:vertAlign w:val="superscript"/>
              </w:rPr>
              <w:t>-1</w:t>
            </w:r>
          </w:p>
        </w:tc>
        <w:tc>
          <w:tcPr>
            <w:tcW w:w="1814" w:type="dxa"/>
          </w:tcPr>
          <w:p w14:paraId="5ECA053B" w14:textId="37D5870C" w:rsidR="0071097D" w:rsidRPr="006C734F" w:rsidRDefault="0071097D" w:rsidP="006729AB">
            <w:pPr>
              <w:pStyle w:val="NoSpacing"/>
              <w:jc w:val="center"/>
              <w:rPr>
                <w:rFonts w:ascii="Times New Roman" w:hAnsi="Times New Roman" w:cs="Times New Roman"/>
                <w:b w:val="0"/>
                <w:sz w:val="20"/>
                <w:szCs w:val="20"/>
              </w:rPr>
            </w:pPr>
            <w:r w:rsidRPr="006C734F">
              <w:rPr>
                <w:rFonts w:ascii="Times New Roman" w:hAnsi="Times New Roman" w:cs="Times New Roman"/>
                <w:b w:val="0"/>
                <w:sz w:val="20"/>
                <w:szCs w:val="20"/>
              </w:rPr>
              <w:t xml:space="preserve">Sensitivity, </w:t>
            </w:r>
            <w:proofErr w:type="spellStart"/>
            <w:r w:rsidR="00E9017F" w:rsidRPr="006C734F">
              <w:rPr>
                <w:rFonts w:ascii="Times New Roman" w:hAnsi="Times New Roman" w:cs="Times New Roman"/>
                <w:b w:val="0"/>
                <w:sz w:val="20"/>
                <w:szCs w:val="20"/>
              </w:rPr>
              <w:t>nA</w:t>
            </w:r>
            <w:proofErr w:type="spellEnd"/>
            <w:r w:rsidR="00E9017F" w:rsidRPr="006C734F">
              <w:rPr>
                <w:rFonts w:ascii="Times New Roman" w:hAnsi="Times New Roman" w:cs="Times New Roman"/>
                <w:b w:val="0"/>
                <w:sz w:val="20"/>
                <w:szCs w:val="20"/>
              </w:rPr>
              <w:t xml:space="preserve"> L µmol</w:t>
            </w:r>
            <w:r w:rsidR="00E9017F" w:rsidRPr="006C734F">
              <w:rPr>
                <w:rFonts w:ascii="Times New Roman" w:hAnsi="Times New Roman" w:cs="Times New Roman"/>
                <w:b w:val="0"/>
                <w:sz w:val="20"/>
                <w:szCs w:val="20"/>
                <w:vertAlign w:val="superscript"/>
              </w:rPr>
              <w:t>-1</w:t>
            </w:r>
          </w:p>
        </w:tc>
        <w:tc>
          <w:tcPr>
            <w:tcW w:w="1594" w:type="dxa"/>
          </w:tcPr>
          <w:p w14:paraId="26B94939" w14:textId="5FC2B571" w:rsidR="0071097D" w:rsidRPr="006C734F" w:rsidRDefault="0071097D" w:rsidP="006729AB">
            <w:pPr>
              <w:pStyle w:val="NoSpacing"/>
              <w:jc w:val="center"/>
              <w:rPr>
                <w:rFonts w:ascii="Times New Roman" w:hAnsi="Times New Roman" w:cs="Times New Roman"/>
                <w:b w:val="0"/>
                <w:sz w:val="20"/>
                <w:szCs w:val="20"/>
              </w:rPr>
            </w:pPr>
            <w:r w:rsidRPr="006C734F">
              <w:rPr>
                <w:rFonts w:ascii="Times New Roman" w:hAnsi="Times New Roman" w:cs="Times New Roman"/>
                <w:b w:val="0"/>
                <w:sz w:val="20"/>
                <w:szCs w:val="20"/>
              </w:rPr>
              <w:t>Linear range</w:t>
            </w:r>
            <w:r w:rsidR="00E9017F" w:rsidRPr="006C734F">
              <w:rPr>
                <w:rFonts w:ascii="Times New Roman" w:hAnsi="Times New Roman" w:cs="Times New Roman"/>
                <w:b w:val="0"/>
                <w:sz w:val="20"/>
                <w:szCs w:val="20"/>
              </w:rPr>
              <w:t>,</w:t>
            </w:r>
            <w:r w:rsidR="00DB6FC9" w:rsidRPr="006C734F">
              <w:rPr>
                <w:b w:val="0"/>
              </w:rPr>
              <w:t xml:space="preserve"> </w:t>
            </w:r>
            <w:r w:rsidR="00E9017F" w:rsidRPr="006C734F">
              <w:rPr>
                <w:rFonts w:ascii="Times New Roman" w:hAnsi="Times New Roman" w:cs="Times New Roman"/>
                <w:b w:val="0"/>
                <w:sz w:val="20"/>
                <w:szCs w:val="20"/>
              </w:rPr>
              <w:t>µ</w:t>
            </w:r>
            <w:proofErr w:type="spellStart"/>
            <w:r w:rsidR="00E9017F" w:rsidRPr="006C734F">
              <w:rPr>
                <w:rFonts w:ascii="Times New Roman" w:hAnsi="Times New Roman" w:cs="Times New Roman"/>
                <w:b w:val="0"/>
                <w:sz w:val="20"/>
                <w:szCs w:val="20"/>
              </w:rPr>
              <w:t>mol</w:t>
            </w:r>
            <w:proofErr w:type="spellEnd"/>
            <w:r w:rsidR="00E9017F" w:rsidRPr="006C734F">
              <w:rPr>
                <w:rFonts w:ascii="Times New Roman" w:hAnsi="Times New Roman" w:cs="Times New Roman"/>
                <w:b w:val="0"/>
                <w:sz w:val="20"/>
                <w:szCs w:val="20"/>
              </w:rPr>
              <w:t xml:space="preserve"> L</w:t>
            </w:r>
            <w:r w:rsidR="00E9017F" w:rsidRPr="006C734F">
              <w:rPr>
                <w:rFonts w:ascii="Times New Roman" w:hAnsi="Times New Roman" w:cs="Times New Roman"/>
                <w:b w:val="0"/>
                <w:sz w:val="20"/>
                <w:szCs w:val="20"/>
                <w:vertAlign w:val="superscript"/>
              </w:rPr>
              <w:t>-1</w:t>
            </w:r>
          </w:p>
        </w:tc>
        <w:tc>
          <w:tcPr>
            <w:tcW w:w="1700" w:type="dxa"/>
          </w:tcPr>
          <w:p w14:paraId="3C97EDF4" w14:textId="76BF5F55" w:rsidR="0071097D" w:rsidRPr="006C734F" w:rsidRDefault="0071097D" w:rsidP="006729AB">
            <w:pPr>
              <w:pStyle w:val="NoSpacing"/>
              <w:jc w:val="center"/>
              <w:rPr>
                <w:rFonts w:ascii="Times New Roman" w:hAnsi="Times New Roman" w:cs="Times New Roman"/>
                <w:b w:val="0"/>
                <w:sz w:val="20"/>
                <w:szCs w:val="20"/>
              </w:rPr>
            </w:pPr>
            <w:r w:rsidRPr="006C734F">
              <w:rPr>
                <w:rFonts w:ascii="Times New Roman" w:hAnsi="Times New Roman" w:cs="Times New Roman"/>
                <w:b w:val="0"/>
                <w:sz w:val="20"/>
                <w:szCs w:val="20"/>
              </w:rPr>
              <w:t>Ref.</w:t>
            </w:r>
          </w:p>
        </w:tc>
      </w:tr>
      <w:tr w:rsidR="0071097D" w:rsidRPr="006C734F" w14:paraId="560153BC" w14:textId="77777777" w:rsidTr="0071097D">
        <w:tc>
          <w:tcPr>
            <w:tcW w:w="2483" w:type="dxa"/>
          </w:tcPr>
          <w:p w14:paraId="200076A0" w14:textId="39D0B0F6" w:rsidR="0071097D" w:rsidRPr="006C734F" w:rsidRDefault="0071097D" w:rsidP="00541F4F">
            <w:pPr>
              <w:pStyle w:val="NoSpacing"/>
              <w:jc w:val="both"/>
              <w:rPr>
                <w:rFonts w:ascii="Times New Roman" w:hAnsi="Times New Roman" w:cs="Times New Roman"/>
                <w:sz w:val="20"/>
                <w:szCs w:val="20"/>
              </w:rPr>
            </w:pPr>
            <w:r w:rsidRPr="006C734F">
              <w:rPr>
                <w:rFonts w:ascii="Times New Roman" w:hAnsi="Times New Roman" w:cs="Times New Roman"/>
                <w:sz w:val="20"/>
                <w:szCs w:val="20"/>
              </w:rPr>
              <w:t>SPE/AChE</w:t>
            </w:r>
          </w:p>
        </w:tc>
        <w:tc>
          <w:tcPr>
            <w:tcW w:w="1769" w:type="dxa"/>
          </w:tcPr>
          <w:p w14:paraId="4CD3A0E1" w14:textId="5DB12551" w:rsidR="0071097D" w:rsidRPr="006C734F" w:rsidRDefault="0071097D"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1.81</w:t>
            </w:r>
          </w:p>
        </w:tc>
        <w:tc>
          <w:tcPr>
            <w:tcW w:w="1814" w:type="dxa"/>
          </w:tcPr>
          <w:p w14:paraId="7C58F1E0" w14:textId="571E660F" w:rsidR="0071097D" w:rsidRPr="006C734F" w:rsidRDefault="00FA4410"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w:t>
            </w:r>
          </w:p>
        </w:tc>
        <w:tc>
          <w:tcPr>
            <w:tcW w:w="1594" w:type="dxa"/>
          </w:tcPr>
          <w:p w14:paraId="47D3B4E5" w14:textId="443E2A96" w:rsidR="0071097D" w:rsidRPr="006C734F" w:rsidRDefault="00FA4410"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w:t>
            </w:r>
          </w:p>
        </w:tc>
        <w:tc>
          <w:tcPr>
            <w:tcW w:w="1700" w:type="dxa"/>
          </w:tcPr>
          <w:p w14:paraId="6DCFBFE3" w14:textId="68009725" w:rsidR="0071097D" w:rsidRPr="006C734F" w:rsidRDefault="002E5756"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27</w:t>
            </w:r>
          </w:p>
        </w:tc>
      </w:tr>
      <w:tr w:rsidR="0071097D" w:rsidRPr="006C734F" w14:paraId="07466F4E" w14:textId="77777777" w:rsidTr="0071097D">
        <w:tc>
          <w:tcPr>
            <w:tcW w:w="2483" w:type="dxa"/>
          </w:tcPr>
          <w:p w14:paraId="27A6FF72" w14:textId="25601F2F" w:rsidR="0071097D" w:rsidRPr="006C734F" w:rsidRDefault="0071097D" w:rsidP="00541F4F">
            <w:pPr>
              <w:pStyle w:val="NoSpacing"/>
              <w:jc w:val="both"/>
              <w:rPr>
                <w:rFonts w:ascii="Times New Roman" w:hAnsi="Times New Roman" w:cs="Times New Roman"/>
                <w:sz w:val="20"/>
                <w:szCs w:val="20"/>
              </w:rPr>
            </w:pPr>
            <w:r w:rsidRPr="006C734F">
              <w:rPr>
                <w:rFonts w:ascii="Times New Roman" w:hAnsi="Times New Roman" w:cs="Times New Roman"/>
                <w:sz w:val="20"/>
                <w:szCs w:val="20"/>
              </w:rPr>
              <w:t>GCE/PPy-CNTs/AChE</w:t>
            </w:r>
          </w:p>
        </w:tc>
        <w:tc>
          <w:tcPr>
            <w:tcW w:w="1769" w:type="dxa"/>
          </w:tcPr>
          <w:p w14:paraId="4CA273D5" w14:textId="6FF17681" w:rsidR="0071097D" w:rsidRPr="006C734F" w:rsidRDefault="0071097D"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3.00</w:t>
            </w:r>
          </w:p>
        </w:tc>
        <w:tc>
          <w:tcPr>
            <w:tcW w:w="1814" w:type="dxa"/>
          </w:tcPr>
          <w:p w14:paraId="00053D8E" w14:textId="253198F8" w:rsidR="0071097D" w:rsidRPr="006C734F" w:rsidRDefault="00FA4410"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w:t>
            </w:r>
          </w:p>
        </w:tc>
        <w:tc>
          <w:tcPr>
            <w:tcW w:w="1594" w:type="dxa"/>
          </w:tcPr>
          <w:p w14:paraId="776D060F" w14:textId="7AC62C58" w:rsidR="0071097D" w:rsidRPr="006C734F" w:rsidRDefault="00FA4410"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w:t>
            </w:r>
          </w:p>
        </w:tc>
        <w:tc>
          <w:tcPr>
            <w:tcW w:w="1700" w:type="dxa"/>
          </w:tcPr>
          <w:p w14:paraId="0F428DCB" w14:textId="72645A63" w:rsidR="0071097D" w:rsidRPr="006C734F" w:rsidRDefault="002E5756"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28</w:t>
            </w:r>
          </w:p>
        </w:tc>
      </w:tr>
      <w:tr w:rsidR="0071097D" w:rsidRPr="006C734F" w14:paraId="536461E2" w14:textId="77777777" w:rsidTr="0071097D">
        <w:tc>
          <w:tcPr>
            <w:tcW w:w="2483" w:type="dxa"/>
          </w:tcPr>
          <w:p w14:paraId="3428AC8C" w14:textId="54219EC0" w:rsidR="0071097D" w:rsidRPr="006C734F" w:rsidRDefault="0071097D" w:rsidP="00541F4F">
            <w:pPr>
              <w:pStyle w:val="NoSpacing"/>
              <w:jc w:val="both"/>
              <w:rPr>
                <w:rFonts w:ascii="Times New Roman" w:hAnsi="Times New Roman" w:cs="Times New Roman"/>
                <w:sz w:val="20"/>
                <w:szCs w:val="20"/>
              </w:rPr>
            </w:pPr>
            <w:r w:rsidRPr="006C734F">
              <w:rPr>
                <w:rFonts w:ascii="Times New Roman" w:hAnsi="Times New Roman" w:cs="Times New Roman"/>
                <w:sz w:val="20"/>
                <w:szCs w:val="20"/>
              </w:rPr>
              <w:t>SPE/PBNPs/BuChE</w:t>
            </w:r>
          </w:p>
        </w:tc>
        <w:tc>
          <w:tcPr>
            <w:tcW w:w="1769" w:type="dxa"/>
          </w:tcPr>
          <w:p w14:paraId="17704CF4" w14:textId="6EEE8722" w:rsidR="0071097D" w:rsidRPr="006C734F" w:rsidRDefault="00EE5C91"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4</w:t>
            </w:r>
            <w:r w:rsidR="0071097D" w:rsidRPr="006C734F">
              <w:rPr>
                <w:rFonts w:ascii="Times New Roman" w:hAnsi="Times New Roman" w:cs="Times New Roman"/>
                <w:sz w:val="20"/>
                <w:szCs w:val="20"/>
              </w:rPr>
              <w:t>.00</w:t>
            </w:r>
          </w:p>
        </w:tc>
        <w:tc>
          <w:tcPr>
            <w:tcW w:w="1814" w:type="dxa"/>
          </w:tcPr>
          <w:p w14:paraId="639370BB" w14:textId="175B7D52" w:rsidR="0071097D" w:rsidRPr="006C734F" w:rsidRDefault="00727531"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w:t>
            </w:r>
          </w:p>
        </w:tc>
        <w:tc>
          <w:tcPr>
            <w:tcW w:w="1594" w:type="dxa"/>
          </w:tcPr>
          <w:p w14:paraId="6F2E301E" w14:textId="43101658" w:rsidR="0071097D" w:rsidRPr="006C734F" w:rsidRDefault="000E6F6B"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0.007-0.01</w:t>
            </w:r>
          </w:p>
        </w:tc>
        <w:tc>
          <w:tcPr>
            <w:tcW w:w="1700" w:type="dxa"/>
          </w:tcPr>
          <w:p w14:paraId="4A44FB2A" w14:textId="211443AF" w:rsidR="0071097D" w:rsidRPr="006C734F" w:rsidRDefault="002E5756"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29</w:t>
            </w:r>
          </w:p>
        </w:tc>
      </w:tr>
      <w:tr w:rsidR="0071097D" w:rsidRPr="006C734F" w14:paraId="4D8EEAF2" w14:textId="77777777" w:rsidTr="0071097D">
        <w:tc>
          <w:tcPr>
            <w:tcW w:w="2483" w:type="dxa"/>
          </w:tcPr>
          <w:p w14:paraId="4A7E42EF" w14:textId="77777777" w:rsidR="0071097D" w:rsidRPr="006C734F" w:rsidRDefault="0071097D" w:rsidP="00541F4F">
            <w:pPr>
              <w:pStyle w:val="NoSpacing"/>
              <w:jc w:val="both"/>
              <w:rPr>
                <w:rFonts w:ascii="Times New Roman" w:hAnsi="Times New Roman" w:cs="Times New Roman"/>
                <w:sz w:val="20"/>
                <w:szCs w:val="20"/>
              </w:rPr>
            </w:pPr>
          </w:p>
        </w:tc>
        <w:tc>
          <w:tcPr>
            <w:tcW w:w="1769" w:type="dxa"/>
          </w:tcPr>
          <w:p w14:paraId="68DAAB1B" w14:textId="77777777" w:rsidR="0071097D" w:rsidRPr="006C734F" w:rsidRDefault="0071097D" w:rsidP="006729AB">
            <w:pPr>
              <w:pStyle w:val="NoSpacing"/>
              <w:jc w:val="center"/>
              <w:rPr>
                <w:rFonts w:ascii="Times New Roman" w:hAnsi="Times New Roman" w:cs="Times New Roman"/>
                <w:sz w:val="20"/>
                <w:szCs w:val="20"/>
              </w:rPr>
            </w:pPr>
          </w:p>
        </w:tc>
        <w:tc>
          <w:tcPr>
            <w:tcW w:w="1814" w:type="dxa"/>
          </w:tcPr>
          <w:p w14:paraId="073EC847" w14:textId="77777777" w:rsidR="0071097D" w:rsidRPr="006C734F" w:rsidRDefault="0071097D" w:rsidP="006729AB">
            <w:pPr>
              <w:pStyle w:val="NoSpacing"/>
              <w:jc w:val="center"/>
              <w:rPr>
                <w:rFonts w:ascii="Times New Roman" w:hAnsi="Times New Roman" w:cs="Times New Roman"/>
                <w:sz w:val="20"/>
                <w:szCs w:val="20"/>
              </w:rPr>
            </w:pPr>
          </w:p>
        </w:tc>
        <w:tc>
          <w:tcPr>
            <w:tcW w:w="1594" w:type="dxa"/>
          </w:tcPr>
          <w:p w14:paraId="7EDF910A" w14:textId="77777777" w:rsidR="0071097D" w:rsidRPr="006C734F" w:rsidRDefault="0071097D" w:rsidP="006729AB">
            <w:pPr>
              <w:pStyle w:val="NoSpacing"/>
              <w:jc w:val="center"/>
              <w:rPr>
                <w:rFonts w:ascii="Times New Roman" w:hAnsi="Times New Roman" w:cs="Times New Roman"/>
                <w:sz w:val="20"/>
                <w:szCs w:val="20"/>
              </w:rPr>
            </w:pPr>
          </w:p>
        </w:tc>
        <w:tc>
          <w:tcPr>
            <w:tcW w:w="1700" w:type="dxa"/>
          </w:tcPr>
          <w:p w14:paraId="27E3144F" w14:textId="44AEBEEE" w:rsidR="0071097D" w:rsidRPr="006C734F" w:rsidRDefault="0071097D" w:rsidP="006729AB">
            <w:pPr>
              <w:pStyle w:val="NoSpacing"/>
              <w:jc w:val="center"/>
              <w:rPr>
                <w:rFonts w:ascii="Times New Roman" w:hAnsi="Times New Roman" w:cs="Times New Roman"/>
                <w:sz w:val="20"/>
                <w:szCs w:val="20"/>
              </w:rPr>
            </w:pPr>
          </w:p>
        </w:tc>
      </w:tr>
      <w:tr w:rsidR="0071097D" w:rsidRPr="006C734F" w14:paraId="6C44AA00" w14:textId="77777777" w:rsidTr="0071097D">
        <w:tc>
          <w:tcPr>
            <w:tcW w:w="2483" w:type="dxa"/>
          </w:tcPr>
          <w:p w14:paraId="7ED8345B" w14:textId="185FE165" w:rsidR="0071097D" w:rsidRPr="006C734F" w:rsidRDefault="0071097D" w:rsidP="00541F4F">
            <w:pPr>
              <w:pStyle w:val="NoSpacing"/>
              <w:jc w:val="both"/>
              <w:rPr>
                <w:rFonts w:ascii="Times New Roman" w:hAnsi="Times New Roman" w:cs="Times New Roman"/>
                <w:sz w:val="20"/>
                <w:szCs w:val="20"/>
              </w:rPr>
            </w:pPr>
            <w:r w:rsidRPr="006C734F">
              <w:rPr>
                <w:rFonts w:ascii="Times New Roman" w:hAnsi="Times New Roman" w:cs="Times New Roman"/>
                <w:sz w:val="20"/>
                <w:szCs w:val="20"/>
              </w:rPr>
              <w:t>GCE/SWCNTs/OPH</w:t>
            </w:r>
          </w:p>
        </w:tc>
        <w:tc>
          <w:tcPr>
            <w:tcW w:w="1769" w:type="dxa"/>
          </w:tcPr>
          <w:p w14:paraId="475D7D38" w14:textId="20DFF93C" w:rsidR="0071097D" w:rsidRPr="006C734F" w:rsidRDefault="0071097D"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10</w:t>
            </w:r>
          </w:p>
        </w:tc>
        <w:tc>
          <w:tcPr>
            <w:tcW w:w="1814" w:type="dxa"/>
          </w:tcPr>
          <w:p w14:paraId="2C3DC26E" w14:textId="4F5FCE94" w:rsidR="0071097D" w:rsidRPr="006C734F" w:rsidRDefault="00E9017F"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2.40</w:t>
            </w:r>
          </w:p>
        </w:tc>
        <w:tc>
          <w:tcPr>
            <w:tcW w:w="1594" w:type="dxa"/>
          </w:tcPr>
          <w:p w14:paraId="71A7367D" w14:textId="382EFA9D" w:rsidR="0071097D" w:rsidRPr="006C734F" w:rsidRDefault="00E9017F"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0.5-8.5</w:t>
            </w:r>
          </w:p>
        </w:tc>
        <w:tc>
          <w:tcPr>
            <w:tcW w:w="1700" w:type="dxa"/>
          </w:tcPr>
          <w:p w14:paraId="6899B86A" w14:textId="2CDA0036" w:rsidR="0071097D" w:rsidRPr="006C734F" w:rsidRDefault="002E5756"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30</w:t>
            </w:r>
          </w:p>
        </w:tc>
      </w:tr>
      <w:tr w:rsidR="0071097D" w:rsidRPr="006C734F" w14:paraId="157AC5E4" w14:textId="77777777" w:rsidTr="0071097D">
        <w:tc>
          <w:tcPr>
            <w:tcW w:w="2483" w:type="dxa"/>
          </w:tcPr>
          <w:p w14:paraId="213AA6A2" w14:textId="64890590" w:rsidR="0071097D" w:rsidRPr="006C734F" w:rsidRDefault="0071097D" w:rsidP="00541F4F">
            <w:pPr>
              <w:pStyle w:val="NoSpacing"/>
              <w:jc w:val="both"/>
              <w:rPr>
                <w:rFonts w:ascii="Times New Roman" w:hAnsi="Times New Roman" w:cs="Times New Roman"/>
                <w:sz w:val="20"/>
                <w:szCs w:val="20"/>
              </w:rPr>
            </w:pPr>
            <w:r w:rsidRPr="006C734F">
              <w:rPr>
                <w:rFonts w:ascii="Times New Roman" w:hAnsi="Times New Roman" w:cs="Times New Roman"/>
                <w:sz w:val="20"/>
                <w:szCs w:val="20"/>
              </w:rPr>
              <w:t>CP/OPH</w:t>
            </w:r>
          </w:p>
        </w:tc>
        <w:tc>
          <w:tcPr>
            <w:tcW w:w="1769" w:type="dxa"/>
          </w:tcPr>
          <w:p w14:paraId="6217463A" w14:textId="4B693AF4" w:rsidR="0071097D" w:rsidRPr="006C734F" w:rsidRDefault="0071097D"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20</w:t>
            </w:r>
          </w:p>
        </w:tc>
        <w:tc>
          <w:tcPr>
            <w:tcW w:w="1814" w:type="dxa"/>
          </w:tcPr>
          <w:p w14:paraId="5DDEAE8C" w14:textId="2984EE8A" w:rsidR="0071097D" w:rsidRPr="006C734F" w:rsidRDefault="00E9017F"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12.00</w:t>
            </w:r>
          </w:p>
        </w:tc>
        <w:tc>
          <w:tcPr>
            <w:tcW w:w="1594" w:type="dxa"/>
          </w:tcPr>
          <w:p w14:paraId="2224E9EC" w14:textId="4BB7944E" w:rsidR="0071097D" w:rsidRPr="006C734F" w:rsidRDefault="00DB6FC9"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0.02-18</w:t>
            </w:r>
          </w:p>
        </w:tc>
        <w:tc>
          <w:tcPr>
            <w:tcW w:w="1700" w:type="dxa"/>
          </w:tcPr>
          <w:p w14:paraId="31EE13CF" w14:textId="36174DC6" w:rsidR="0071097D" w:rsidRPr="006C734F" w:rsidRDefault="002E5756"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31</w:t>
            </w:r>
          </w:p>
        </w:tc>
      </w:tr>
      <w:tr w:rsidR="0071097D" w:rsidRPr="006C734F" w14:paraId="383C5446" w14:textId="77777777" w:rsidTr="0071097D">
        <w:tc>
          <w:tcPr>
            <w:tcW w:w="2483" w:type="dxa"/>
          </w:tcPr>
          <w:p w14:paraId="22067F91" w14:textId="68F1AD06" w:rsidR="0071097D" w:rsidRPr="006C734F" w:rsidRDefault="0071097D" w:rsidP="00541F4F">
            <w:pPr>
              <w:pStyle w:val="NoSpacing"/>
              <w:jc w:val="both"/>
              <w:rPr>
                <w:rFonts w:ascii="Times New Roman" w:hAnsi="Times New Roman" w:cs="Times New Roman"/>
                <w:sz w:val="20"/>
                <w:szCs w:val="20"/>
              </w:rPr>
            </w:pPr>
            <w:r w:rsidRPr="006C734F">
              <w:rPr>
                <w:rFonts w:ascii="Times New Roman" w:hAnsi="Times New Roman" w:cs="Times New Roman"/>
                <w:sz w:val="20"/>
                <w:szCs w:val="20"/>
              </w:rPr>
              <w:t>GCE/CB/MC/OPH</w:t>
            </w:r>
          </w:p>
        </w:tc>
        <w:tc>
          <w:tcPr>
            <w:tcW w:w="1769" w:type="dxa"/>
          </w:tcPr>
          <w:p w14:paraId="6E5898F1" w14:textId="1F077969" w:rsidR="0071097D" w:rsidRPr="006C734F" w:rsidRDefault="0071097D"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120</w:t>
            </w:r>
          </w:p>
        </w:tc>
        <w:tc>
          <w:tcPr>
            <w:tcW w:w="1814" w:type="dxa"/>
          </w:tcPr>
          <w:p w14:paraId="6858C525" w14:textId="5CC14F86" w:rsidR="0071097D" w:rsidRPr="006C734F" w:rsidRDefault="00DB6FC9"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198.00</w:t>
            </w:r>
          </w:p>
        </w:tc>
        <w:tc>
          <w:tcPr>
            <w:tcW w:w="1594" w:type="dxa"/>
          </w:tcPr>
          <w:p w14:paraId="07DF7B74" w14:textId="7F14A3B0" w:rsidR="0071097D" w:rsidRPr="006C734F" w:rsidRDefault="00DB6FC9"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0.2-8.0</w:t>
            </w:r>
          </w:p>
        </w:tc>
        <w:tc>
          <w:tcPr>
            <w:tcW w:w="1700" w:type="dxa"/>
          </w:tcPr>
          <w:p w14:paraId="57F04964" w14:textId="656E608B" w:rsidR="0071097D" w:rsidRPr="006C734F" w:rsidRDefault="002E5756"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32</w:t>
            </w:r>
          </w:p>
        </w:tc>
      </w:tr>
      <w:tr w:rsidR="0071097D" w:rsidRPr="006C734F" w14:paraId="735E83B9" w14:textId="77777777" w:rsidTr="0071097D">
        <w:tc>
          <w:tcPr>
            <w:tcW w:w="2483" w:type="dxa"/>
          </w:tcPr>
          <w:p w14:paraId="7D79DE30" w14:textId="6242013E" w:rsidR="0071097D" w:rsidRPr="006C734F" w:rsidRDefault="0071097D" w:rsidP="00541F4F">
            <w:pPr>
              <w:pStyle w:val="NoSpacing"/>
              <w:jc w:val="both"/>
              <w:rPr>
                <w:rFonts w:ascii="Times New Roman" w:hAnsi="Times New Roman" w:cs="Times New Roman"/>
                <w:sz w:val="20"/>
                <w:szCs w:val="20"/>
              </w:rPr>
            </w:pPr>
            <w:r w:rsidRPr="006C734F">
              <w:rPr>
                <w:rFonts w:ascii="Times New Roman" w:hAnsi="Times New Roman" w:cs="Times New Roman"/>
                <w:sz w:val="20"/>
                <w:szCs w:val="20"/>
              </w:rPr>
              <w:t>GCE/SWCNTs/OPH</w:t>
            </w:r>
          </w:p>
        </w:tc>
        <w:tc>
          <w:tcPr>
            <w:tcW w:w="1769" w:type="dxa"/>
          </w:tcPr>
          <w:p w14:paraId="474DD2B2" w14:textId="7CC971A8" w:rsidR="0071097D" w:rsidRPr="006C734F" w:rsidRDefault="0071097D"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150</w:t>
            </w:r>
          </w:p>
        </w:tc>
        <w:tc>
          <w:tcPr>
            <w:tcW w:w="1814" w:type="dxa"/>
          </w:tcPr>
          <w:p w14:paraId="21ED0B88" w14:textId="55D8993D" w:rsidR="0071097D" w:rsidRPr="006C734F" w:rsidRDefault="00DB6FC9"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25.00</w:t>
            </w:r>
          </w:p>
        </w:tc>
        <w:tc>
          <w:tcPr>
            <w:tcW w:w="1594" w:type="dxa"/>
          </w:tcPr>
          <w:p w14:paraId="5B040F43" w14:textId="717B8E33" w:rsidR="0071097D" w:rsidRPr="006C734F" w:rsidRDefault="00DB6FC9"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0.25-4.0</w:t>
            </w:r>
          </w:p>
        </w:tc>
        <w:tc>
          <w:tcPr>
            <w:tcW w:w="1700" w:type="dxa"/>
          </w:tcPr>
          <w:p w14:paraId="0F98C8DD" w14:textId="38821618" w:rsidR="0071097D" w:rsidRPr="006C734F" w:rsidRDefault="002E5756"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33</w:t>
            </w:r>
          </w:p>
        </w:tc>
      </w:tr>
      <w:tr w:rsidR="0071097D" w:rsidRPr="006C734F" w14:paraId="5C4E7128" w14:textId="77777777" w:rsidTr="0071097D">
        <w:tc>
          <w:tcPr>
            <w:tcW w:w="2483" w:type="dxa"/>
          </w:tcPr>
          <w:p w14:paraId="152979DE" w14:textId="5B585B18" w:rsidR="0071097D" w:rsidRPr="006C734F" w:rsidRDefault="0071097D" w:rsidP="00541F4F">
            <w:pPr>
              <w:pStyle w:val="NoSpacing"/>
              <w:jc w:val="both"/>
              <w:rPr>
                <w:rFonts w:ascii="Times New Roman" w:hAnsi="Times New Roman" w:cs="Times New Roman"/>
                <w:sz w:val="20"/>
                <w:szCs w:val="20"/>
              </w:rPr>
            </w:pPr>
            <w:r w:rsidRPr="006C734F">
              <w:rPr>
                <w:rFonts w:ascii="Times New Roman" w:hAnsi="Times New Roman" w:cs="Times New Roman"/>
                <w:sz w:val="20"/>
                <w:szCs w:val="20"/>
              </w:rPr>
              <w:t>GCE/MWCNTs/OPH</w:t>
            </w:r>
          </w:p>
        </w:tc>
        <w:tc>
          <w:tcPr>
            <w:tcW w:w="1769" w:type="dxa"/>
          </w:tcPr>
          <w:p w14:paraId="7334F54A" w14:textId="571A22EE" w:rsidR="0071097D" w:rsidRPr="006C734F" w:rsidRDefault="0071097D"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310</w:t>
            </w:r>
          </w:p>
        </w:tc>
        <w:tc>
          <w:tcPr>
            <w:tcW w:w="1814" w:type="dxa"/>
          </w:tcPr>
          <w:p w14:paraId="3B757399" w14:textId="2C0B40F3" w:rsidR="0071097D" w:rsidRPr="006C734F" w:rsidRDefault="00DB6FC9"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25.95</w:t>
            </w:r>
          </w:p>
        </w:tc>
        <w:tc>
          <w:tcPr>
            <w:tcW w:w="1594" w:type="dxa"/>
          </w:tcPr>
          <w:p w14:paraId="00D5367D" w14:textId="6E60CD5D" w:rsidR="0071097D" w:rsidRPr="006C734F" w:rsidRDefault="00DB6FC9"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0.5-2.0</w:t>
            </w:r>
          </w:p>
        </w:tc>
        <w:tc>
          <w:tcPr>
            <w:tcW w:w="1700" w:type="dxa"/>
          </w:tcPr>
          <w:p w14:paraId="51B30833" w14:textId="31A5A3ED" w:rsidR="0071097D" w:rsidRPr="006C734F" w:rsidRDefault="002E5756"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34</w:t>
            </w:r>
          </w:p>
        </w:tc>
      </w:tr>
      <w:tr w:rsidR="0071097D" w:rsidRPr="006C734F" w14:paraId="13C6DA0C" w14:textId="77777777" w:rsidTr="0071097D">
        <w:tc>
          <w:tcPr>
            <w:tcW w:w="2483" w:type="dxa"/>
          </w:tcPr>
          <w:p w14:paraId="0CBED894" w14:textId="3AB58FB0" w:rsidR="0071097D" w:rsidRPr="006C734F" w:rsidRDefault="0071097D" w:rsidP="00541F4F">
            <w:pPr>
              <w:pStyle w:val="NoSpacing"/>
              <w:jc w:val="both"/>
              <w:rPr>
                <w:rFonts w:ascii="Times New Roman" w:hAnsi="Times New Roman" w:cs="Times New Roman"/>
                <w:sz w:val="20"/>
                <w:szCs w:val="20"/>
              </w:rPr>
            </w:pPr>
            <w:r w:rsidRPr="006C734F">
              <w:rPr>
                <w:rFonts w:ascii="Times New Roman" w:hAnsi="Times New Roman" w:cs="Times New Roman"/>
                <w:sz w:val="20"/>
                <w:szCs w:val="20"/>
              </w:rPr>
              <w:t>CP/OPH</w:t>
            </w:r>
          </w:p>
        </w:tc>
        <w:tc>
          <w:tcPr>
            <w:tcW w:w="1769" w:type="dxa"/>
          </w:tcPr>
          <w:p w14:paraId="1087648F" w14:textId="20BAE9B1" w:rsidR="0071097D" w:rsidRPr="006C734F" w:rsidRDefault="0071097D"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900</w:t>
            </w:r>
          </w:p>
        </w:tc>
        <w:tc>
          <w:tcPr>
            <w:tcW w:w="1814" w:type="dxa"/>
          </w:tcPr>
          <w:p w14:paraId="7771662A" w14:textId="12B34DDE" w:rsidR="0071097D" w:rsidRPr="006C734F" w:rsidRDefault="00DB6FC9"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1.45</w:t>
            </w:r>
          </w:p>
        </w:tc>
        <w:tc>
          <w:tcPr>
            <w:tcW w:w="1594" w:type="dxa"/>
          </w:tcPr>
          <w:p w14:paraId="782809AC" w14:textId="03BEF27A" w:rsidR="0071097D" w:rsidRPr="006C734F" w:rsidRDefault="00DB6FC9"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4.6-46.0</w:t>
            </w:r>
          </w:p>
        </w:tc>
        <w:tc>
          <w:tcPr>
            <w:tcW w:w="1700" w:type="dxa"/>
          </w:tcPr>
          <w:p w14:paraId="35297DAB" w14:textId="0A1FD66F" w:rsidR="0071097D" w:rsidRPr="006C734F" w:rsidRDefault="002E5756" w:rsidP="006729AB">
            <w:pPr>
              <w:pStyle w:val="NoSpacing"/>
              <w:jc w:val="center"/>
              <w:rPr>
                <w:rFonts w:ascii="Times New Roman" w:hAnsi="Times New Roman" w:cs="Times New Roman"/>
                <w:sz w:val="20"/>
                <w:szCs w:val="20"/>
              </w:rPr>
            </w:pPr>
            <w:r w:rsidRPr="006C734F">
              <w:rPr>
                <w:rFonts w:ascii="Times New Roman" w:hAnsi="Times New Roman" w:cs="Times New Roman"/>
                <w:sz w:val="20"/>
                <w:szCs w:val="20"/>
              </w:rPr>
              <w:t>35</w:t>
            </w:r>
          </w:p>
        </w:tc>
      </w:tr>
    </w:tbl>
    <w:p w14:paraId="507856A6" w14:textId="77777777" w:rsidR="00B45603" w:rsidRPr="006C734F" w:rsidRDefault="00B45603" w:rsidP="00541F4F">
      <w:pPr>
        <w:pStyle w:val="NoSpacing"/>
        <w:jc w:val="both"/>
        <w:rPr>
          <w:rFonts w:ascii="Times New Roman" w:hAnsi="Times New Roman" w:cs="Times New Roman"/>
          <w:sz w:val="20"/>
          <w:szCs w:val="20"/>
        </w:rPr>
      </w:pPr>
    </w:p>
    <w:p w14:paraId="022878FE" w14:textId="52F5A125" w:rsidR="000672F2" w:rsidRPr="006C734F" w:rsidRDefault="003B51FD" w:rsidP="003B51FD">
      <w:pPr>
        <w:pStyle w:val="NoSpacing"/>
        <w:ind w:firstLine="426"/>
        <w:jc w:val="both"/>
        <w:rPr>
          <w:rFonts w:ascii="Times New Roman" w:hAnsi="Times New Roman" w:cs="Times New Roman"/>
          <w:sz w:val="20"/>
          <w:szCs w:val="20"/>
        </w:rPr>
      </w:pPr>
      <w:r w:rsidRPr="006C734F">
        <w:rPr>
          <w:rFonts w:ascii="Times New Roman" w:hAnsi="Times New Roman" w:cs="Times New Roman"/>
          <w:sz w:val="20"/>
          <w:szCs w:val="20"/>
        </w:rPr>
        <w:t xml:space="preserve">Detailed information on the analytical performances of the electrochemical </w:t>
      </w:r>
      <w:r w:rsidR="00EF5144" w:rsidRPr="006C734F">
        <w:rPr>
          <w:rFonts w:ascii="Times New Roman" w:hAnsi="Times New Roman" w:cs="Times New Roman"/>
          <w:sz w:val="20"/>
          <w:szCs w:val="20"/>
        </w:rPr>
        <w:t>(</w:t>
      </w:r>
      <w:r w:rsidRPr="006C734F">
        <w:rPr>
          <w:rFonts w:ascii="Times New Roman" w:hAnsi="Times New Roman" w:cs="Times New Roman"/>
          <w:sz w:val="20"/>
          <w:szCs w:val="20"/>
        </w:rPr>
        <w:t>bio</w:t>
      </w:r>
      <w:r w:rsidR="00EF5144" w:rsidRPr="006C734F">
        <w:rPr>
          <w:rFonts w:ascii="Times New Roman" w:hAnsi="Times New Roman" w:cs="Times New Roman"/>
          <w:sz w:val="20"/>
          <w:szCs w:val="20"/>
        </w:rPr>
        <w:t>)</w:t>
      </w:r>
      <w:r w:rsidRPr="006C734F">
        <w:rPr>
          <w:rFonts w:ascii="Times New Roman" w:hAnsi="Times New Roman" w:cs="Times New Roman"/>
          <w:sz w:val="20"/>
          <w:szCs w:val="20"/>
        </w:rPr>
        <w:t>sensors for OPs determination is provided by Stoytcheva et al. [1-4].</w:t>
      </w:r>
    </w:p>
    <w:p w14:paraId="5BDF12AF" w14:textId="77777777" w:rsidR="003B51FD" w:rsidRPr="006C734F" w:rsidRDefault="003B51FD" w:rsidP="003B51FD">
      <w:pPr>
        <w:pStyle w:val="NoSpacing"/>
        <w:jc w:val="both"/>
        <w:rPr>
          <w:rFonts w:ascii="Times New Roman" w:hAnsi="Times New Roman" w:cs="Times New Roman"/>
          <w:sz w:val="20"/>
          <w:szCs w:val="20"/>
        </w:rPr>
      </w:pPr>
    </w:p>
    <w:p w14:paraId="625B46E1" w14:textId="77777777" w:rsidR="0031598A" w:rsidRPr="00314E4C" w:rsidRDefault="0031598A" w:rsidP="0031598A">
      <w:pPr>
        <w:pStyle w:val="NoSpacing"/>
        <w:jc w:val="both"/>
        <w:rPr>
          <w:rFonts w:ascii="Times New Roman" w:hAnsi="Times New Roman" w:cs="Times New Roman"/>
          <w:b/>
        </w:rPr>
      </w:pPr>
      <w:r w:rsidRPr="006C734F">
        <w:rPr>
          <w:rFonts w:ascii="Times New Roman" w:hAnsi="Times New Roman" w:cs="Times New Roman"/>
          <w:b/>
        </w:rPr>
        <w:t>Conclusion</w:t>
      </w:r>
    </w:p>
    <w:p w14:paraId="33A0EC28" w14:textId="4FE9E458" w:rsidR="00B45603" w:rsidRPr="006C734F" w:rsidRDefault="0031598A" w:rsidP="0031598A">
      <w:pPr>
        <w:pStyle w:val="NoSpacing"/>
        <w:jc w:val="both"/>
        <w:rPr>
          <w:rFonts w:ascii="Times New Roman" w:hAnsi="Times New Roman" w:cs="Times New Roman"/>
          <w:sz w:val="20"/>
          <w:szCs w:val="20"/>
        </w:rPr>
      </w:pPr>
      <w:r w:rsidRPr="00314E4C">
        <w:rPr>
          <w:rFonts w:ascii="Times New Roman" w:hAnsi="Times New Roman" w:cs="Times New Roman"/>
          <w:sz w:val="20"/>
          <w:szCs w:val="20"/>
        </w:rPr>
        <w:t>A glassy carbon electrode modified by renewable Bi film deposited ex situ was developed using graphite nanopowder incorporated in laponite as intermediate layer to form a sandwich-type structure (Bi/Gr/GCE). The large surface area of the nanomaterial and the high electrocatalytic activity of the Bi layer provoked an enhancement of the current response of the sensor to organophosphorus pesticides (paraoxon) reduction and hence a sensitivity improvement. The attained LOD of 2 nmol L</w:t>
      </w:r>
      <w:r w:rsidRPr="00314E4C">
        <w:rPr>
          <w:rFonts w:ascii="Times New Roman" w:hAnsi="Times New Roman" w:cs="Times New Roman"/>
          <w:sz w:val="20"/>
          <w:szCs w:val="20"/>
          <w:vertAlign w:val="superscript"/>
        </w:rPr>
        <w:t>-1</w:t>
      </w:r>
      <w:r w:rsidRPr="00314E4C">
        <w:rPr>
          <w:rFonts w:ascii="Times New Roman" w:hAnsi="Times New Roman" w:cs="Times New Roman"/>
          <w:sz w:val="20"/>
          <w:szCs w:val="20"/>
        </w:rPr>
        <w:t xml:space="preserve"> is comparable to the LOD of some cholinesterases-based electrochemical sensors and lower than the LOD of the organophosphorus hydrolase-based electrochemical sensors for paraoxon determination. In addition, the Bi/Gr/GCE is more stable than the enzyme-based </w:t>
      </w:r>
      <w:r w:rsidRPr="006C734F">
        <w:rPr>
          <w:rFonts w:ascii="Times New Roman" w:hAnsi="Times New Roman" w:cs="Times New Roman"/>
          <w:sz w:val="20"/>
          <w:szCs w:val="20"/>
        </w:rPr>
        <w:t xml:space="preserve">sensors and it </w:t>
      </w:r>
      <w:r w:rsidR="00D27C56" w:rsidRPr="006C734F">
        <w:rPr>
          <w:rFonts w:ascii="Times New Roman" w:hAnsi="Times New Roman" w:cs="Times New Roman"/>
          <w:sz w:val="20"/>
          <w:szCs w:val="20"/>
        </w:rPr>
        <w:t>can</w:t>
      </w:r>
      <w:r w:rsidRPr="006C734F">
        <w:rPr>
          <w:rFonts w:ascii="Times New Roman" w:hAnsi="Times New Roman" w:cs="Times New Roman"/>
          <w:sz w:val="20"/>
          <w:szCs w:val="20"/>
        </w:rPr>
        <w:t xml:space="preserve"> be easily renewed.</w:t>
      </w:r>
    </w:p>
    <w:p w14:paraId="3F9089CE" w14:textId="77777777" w:rsidR="00B45603" w:rsidRPr="006C734F" w:rsidRDefault="00B45603" w:rsidP="00541F4F">
      <w:pPr>
        <w:pStyle w:val="NoSpacing"/>
        <w:jc w:val="both"/>
        <w:rPr>
          <w:rFonts w:ascii="Times New Roman" w:hAnsi="Times New Roman" w:cs="Times New Roman"/>
          <w:sz w:val="20"/>
          <w:szCs w:val="20"/>
        </w:rPr>
      </w:pPr>
    </w:p>
    <w:p w14:paraId="23E38B80" w14:textId="77777777" w:rsidR="00A36259" w:rsidRPr="006C734F" w:rsidRDefault="00A36259" w:rsidP="00541F4F">
      <w:pPr>
        <w:pStyle w:val="NoSpacing"/>
        <w:jc w:val="both"/>
        <w:rPr>
          <w:rFonts w:ascii="Times New Roman" w:hAnsi="Times New Roman" w:cs="Times New Roman"/>
          <w:sz w:val="20"/>
          <w:szCs w:val="20"/>
        </w:rPr>
      </w:pPr>
    </w:p>
    <w:p w14:paraId="50480A35" w14:textId="6AB19688" w:rsidR="00075F18" w:rsidRPr="006C734F" w:rsidRDefault="0031598A" w:rsidP="0031598A">
      <w:pPr>
        <w:rPr>
          <w:rFonts w:ascii="Times New Roman" w:hAnsi="Times New Roman" w:cs="Times New Roman"/>
          <w:b/>
        </w:rPr>
      </w:pPr>
      <w:r w:rsidRPr="006C734F">
        <w:rPr>
          <w:rFonts w:ascii="Times New Roman" w:hAnsi="Times New Roman" w:cs="Times New Roman"/>
          <w:b/>
        </w:rPr>
        <w:t>Re</w:t>
      </w:r>
      <w:r w:rsidR="003405C0" w:rsidRPr="006C734F">
        <w:rPr>
          <w:rFonts w:ascii="Times New Roman" w:hAnsi="Times New Roman" w:cs="Times New Roman"/>
          <w:b/>
        </w:rPr>
        <w:t>ferences</w:t>
      </w:r>
    </w:p>
    <w:p w14:paraId="05D620FC" w14:textId="4D2C6742" w:rsidR="0099655D" w:rsidRPr="006C734F" w:rsidRDefault="009D391E" w:rsidP="0099655D">
      <w:pPr>
        <w:pStyle w:val="RSCB06BHeadingSub-Section"/>
        <w:numPr>
          <w:ilvl w:val="0"/>
          <w:numId w:val="6"/>
        </w:numPr>
        <w:jc w:val="both"/>
        <w:rPr>
          <w:rFonts w:ascii="Times New Roman" w:hAnsi="Times New Roman"/>
          <w:b w:val="0"/>
          <w:sz w:val="20"/>
          <w:szCs w:val="20"/>
          <w:lang w:val="en-US"/>
        </w:rPr>
      </w:pPr>
      <w:r w:rsidRPr="006C734F">
        <w:rPr>
          <w:rFonts w:ascii="Times New Roman" w:hAnsi="Times New Roman"/>
          <w:b w:val="0"/>
          <w:sz w:val="20"/>
          <w:szCs w:val="20"/>
          <w:lang w:val="fr-FR"/>
        </w:rPr>
        <w:t xml:space="preserve">Stoytcheva M, </w:t>
      </w:r>
      <w:proofErr w:type="spellStart"/>
      <w:r w:rsidRPr="006C734F">
        <w:rPr>
          <w:rFonts w:ascii="Times New Roman" w:hAnsi="Times New Roman"/>
          <w:b w:val="0"/>
          <w:sz w:val="20"/>
          <w:szCs w:val="20"/>
          <w:lang w:val="fr-FR"/>
        </w:rPr>
        <w:t>Zlatev</w:t>
      </w:r>
      <w:proofErr w:type="spellEnd"/>
      <w:r w:rsidRPr="006C734F">
        <w:rPr>
          <w:rFonts w:ascii="Times New Roman" w:hAnsi="Times New Roman"/>
          <w:b w:val="0"/>
          <w:sz w:val="20"/>
          <w:szCs w:val="20"/>
          <w:lang w:val="fr-FR"/>
        </w:rPr>
        <w:t xml:space="preserve"> R (2011) </w:t>
      </w:r>
      <w:proofErr w:type="spellStart"/>
      <w:r w:rsidRPr="006C734F">
        <w:rPr>
          <w:rFonts w:ascii="Times New Roman" w:hAnsi="Times New Roman"/>
          <w:b w:val="0"/>
          <w:sz w:val="20"/>
          <w:szCs w:val="20"/>
          <w:lang w:val="fr-FR"/>
        </w:rPr>
        <w:t>Organophosphorus</w:t>
      </w:r>
      <w:proofErr w:type="spellEnd"/>
      <w:r w:rsidRPr="006C734F">
        <w:rPr>
          <w:rFonts w:ascii="Times New Roman" w:hAnsi="Times New Roman"/>
          <w:b w:val="0"/>
          <w:sz w:val="20"/>
          <w:szCs w:val="20"/>
          <w:lang w:val="fr-FR"/>
        </w:rPr>
        <w:t xml:space="preserve"> pesticides </w:t>
      </w:r>
      <w:proofErr w:type="spellStart"/>
      <w:r w:rsidRPr="006C734F">
        <w:rPr>
          <w:rFonts w:ascii="Times New Roman" w:hAnsi="Times New Roman"/>
          <w:b w:val="0"/>
          <w:sz w:val="20"/>
          <w:szCs w:val="20"/>
          <w:lang w:val="fr-FR"/>
        </w:rPr>
        <w:t>analysis</w:t>
      </w:r>
      <w:proofErr w:type="spellEnd"/>
      <w:r w:rsidRPr="006C734F">
        <w:rPr>
          <w:rFonts w:ascii="Times New Roman" w:hAnsi="Times New Roman"/>
          <w:b w:val="0"/>
          <w:sz w:val="20"/>
          <w:szCs w:val="20"/>
          <w:lang w:val="fr-FR"/>
        </w:rPr>
        <w:t xml:space="preserve">. </w:t>
      </w:r>
      <w:r w:rsidRPr="006C734F">
        <w:rPr>
          <w:rFonts w:ascii="Times New Roman" w:hAnsi="Times New Roman"/>
          <w:b w:val="0"/>
          <w:sz w:val="20"/>
          <w:szCs w:val="20"/>
          <w:lang w:val="en-US"/>
        </w:rPr>
        <w:t>In: Stoytcheva M (</w:t>
      </w:r>
      <w:proofErr w:type="spellStart"/>
      <w:r w:rsidRPr="006C734F">
        <w:rPr>
          <w:rFonts w:ascii="Times New Roman" w:hAnsi="Times New Roman"/>
          <w:b w:val="0"/>
          <w:sz w:val="20"/>
          <w:szCs w:val="20"/>
          <w:lang w:val="en-US"/>
        </w:rPr>
        <w:t>ed</w:t>
      </w:r>
      <w:proofErr w:type="spellEnd"/>
      <w:r w:rsidRPr="006C734F">
        <w:rPr>
          <w:rFonts w:ascii="Times New Roman" w:hAnsi="Times New Roman"/>
          <w:b w:val="0"/>
          <w:sz w:val="20"/>
          <w:szCs w:val="20"/>
          <w:lang w:val="en-US"/>
        </w:rPr>
        <w:t>) Pesticides in</w:t>
      </w:r>
      <w:r w:rsidR="0099655D" w:rsidRPr="006C734F">
        <w:rPr>
          <w:rFonts w:ascii="Times New Roman" w:hAnsi="Times New Roman"/>
          <w:b w:val="0"/>
          <w:sz w:val="20"/>
          <w:szCs w:val="20"/>
          <w:lang w:val="en-US"/>
        </w:rPr>
        <w:t xml:space="preserve"> </w:t>
      </w:r>
      <w:r w:rsidRPr="006C734F">
        <w:rPr>
          <w:rFonts w:ascii="Times New Roman" w:hAnsi="Times New Roman"/>
          <w:b w:val="0"/>
          <w:sz w:val="20"/>
          <w:szCs w:val="20"/>
          <w:lang w:val="en-US"/>
        </w:rPr>
        <w:t xml:space="preserve">the modern </w:t>
      </w:r>
      <w:proofErr w:type="gramStart"/>
      <w:r w:rsidRPr="006C734F">
        <w:rPr>
          <w:rFonts w:ascii="Times New Roman" w:hAnsi="Times New Roman"/>
          <w:b w:val="0"/>
          <w:sz w:val="20"/>
          <w:szCs w:val="20"/>
          <w:lang w:val="en-US"/>
        </w:rPr>
        <w:t>world</w:t>
      </w:r>
      <w:proofErr w:type="gramEnd"/>
      <w:r w:rsidRPr="006C734F">
        <w:rPr>
          <w:rFonts w:ascii="Times New Roman" w:hAnsi="Times New Roman"/>
          <w:b w:val="0"/>
          <w:sz w:val="20"/>
          <w:szCs w:val="20"/>
          <w:lang w:val="en-US"/>
        </w:rPr>
        <w:t xml:space="preserve">-Trends in pesticides analysis. </w:t>
      </w:r>
      <w:proofErr w:type="spellStart"/>
      <w:r w:rsidRPr="006C734F">
        <w:rPr>
          <w:rFonts w:ascii="Times New Roman" w:hAnsi="Times New Roman"/>
          <w:b w:val="0"/>
          <w:sz w:val="20"/>
          <w:szCs w:val="20"/>
          <w:lang w:val="en-US"/>
        </w:rPr>
        <w:t>InTech</w:t>
      </w:r>
      <w:proofErr w:type="spellEnd"/>
      <w:r w:rsidRPr="006C734F">
        <w:rPr>
          <w:rFonts w:ascii="Times New Roman" w:hAnsi="Times New Roman"/>
          <w:b w:val="0"/>
          <w:sz w:val="20"/>
          <w:szCs w:val="20"/>
          <w:lang w:val="en-US"/>
        </w:rPr>
        <w:t>, Croatia, pp 143-164</w:t>
      </w:r>
    </w:p>
    <w:p w14:paraId="3620E166" w14:textId="20772FB0" w:rsidR="009D391E" w:rsidRPr="006C734F" w:rsidRDefault="009D391E" w:rsidP="0099655D">
      <w:pPr>
        <w:pStyle w:val="RSCB06BHeadingSub-Section"/>
        <w:numPr>
          <w:ilvl w:val="0"/>
          <w:numId w:val="6"/>
        </w:numPr>
        <w:jc w:val="both"/>
        <w:rPr>
          <w:rFonts w:ascii="Times New Roman" w:hAnsi="Times New Roman"/>
          <w:b w:val="0"/>
          <w:sz w:val="20"/>
          <w:szCs w:val="20"/>
          <w:lang w:val="en-US"/>
        </w:rPr>
      </w:pPr>
      <w:r w:rsidRPr="006C734F">
        <w:rPr>
          <w:rFonts w:ascii="Times New Roman" w:hAnsi="Times New Roman"/>
          <w:b w:val="0"/>
          <w:sz w:val="20"/>
          <w:szCs w:val="20"/>
          <w:lang w:val="en-US"/>
        </w:rPr>
        <w:t xml:space="preserve"> Stoytcheva M (2010) Enzyme vs. bacterial electrochemical sensors for organophosphorus pesticides</w:t>
      </w:r>
      <w:r w:rsidR="0099655D" w:rsidRPr="006C734F">
        <w:rPr>
          <w:rFonts w:ascii="Times New Roman" w:hAnsi="Times New Roman"/>
          <w:b w:val="0"/>
          <w:sz w:val="20"/>
          <w:szCs w:val="20"/>
          <w:lang w:val="en-US"/>
        </w:rPr>
        <w:t xml:space="preserve"> </w:t>
      </w:r>
      <w:r w:rsidRPr="006C734F">
        <w:rPr>
          <w:rFonts w:ascii="Times New Roman" w:hAnsi="Times New Roman"/>
          <w:b w:val="0"/>
          <w:sz w:val="20"/>
          <w:szCs w:val="20"/>
          <w:lang w:val="en-US"/>
        </w:rPr>
        <w:t>quantification. In: Somerset V (</w:t>
      </w:r>
      <w:proofErr w:type="spellStart"/>
      <w:r w:rsidRPr="006C734F">
        <w:rPr>
          <w:rFonts w:ascii="Times New Roman" w:hAnsi="Times New Roman"/>
          <w:b w:val="0"/>
          <w:sz w:val="20"/>
          <w:szCs w:val="20"/>
          <w:lang w:val="en-US"/>
        </w:rPr>
        <w:t>ed</w:t>
      </w:r>
      <w:proofErr w:type="spellEnd"/>
      <w:r w:rsidRPr="006C734F">
        <w:rPr>
          <w:rFonts w:ascii="Times New Roman" w:hAnsi="Times New Roman"/>
          <w:b w:val="0"/>
          <w:sz w:val="20"/>
          <w:szCs w:val="20"/>
          <w:lang w:val="en-US"/>
        </w:rPr>
        <w:t xml:space="preserve">) Intelligent and Biosensors. </w:t>
      </w:r>
      <w:proofErr w:type="spellStart"/>
      <w:r w:rsidRPr="006C734F">
        <w:rPr>
          <w:rFonts w:ascii="Times New Roman" w:hAnsi="Times New Roman"/>
          <w:b w:val="0"/>
          <w:sz w:val="20"/>
          <w:szCs w:val="20"/>
          <w:lang w:val="en-US"/>
        </w:rPr>
        <w:t>InTech</w:t>
      </w:r>
      <w:proofErr w:type="spellEnd"/>
      <w:r w:rsidRPr="006C734F">
        <w:rPr>
          <w:rFonts w:ascii="Times New Roman" w:hAnsi="Times New Roman"/>
          <w:b w:val="0"/>
          <w:sz w:val="20"/>
          <w:szCs w:val="20"/>
          <w:lang w:val="en-US"/>
        </w:rPr>
        <w:t>, Croatia, pp 219-230</w:t>
      </w:r>
    </w:p>
    <w:p w14:paraId="22338BA3" w14:textId="4423133A" w:rsidR="009D391E" w:rsidRPr="006C734F" w:rsidRDefault="009D391E" w:rsidP="009D391E">
      <w:pPr>
        <w:pStyle w:val="RSCB06BHeadingSub-Section"/>
        <w:numPr>
          <w:ilvl w:val="0"/>
          <w:numId w:val="6"/>
        </w:numPr>
        <w:jc w:val="both"/>
        <w:rPr>
          <w:rFonts w:ascii="Times New Roman" w:hAnsi="Times New Roman"/>
          <w:b w:val="0"/>
          <w:sz w:val="20"/>
          <w:szCs w:val="20"/>
          <w:lang w:val="en-US"/>
        </w:rPr>
      </w:pPr>
      <w:r w:rsidRPr="006C734F">
        <w:rPr>
          <w:rFonts w:ascii="Times New Roman" w:hAnsi="Times New Roman"/>
          <w:b w:val="0"/>
          <w:sz w:val="20"/>
          <w:szCs w:val="20"/>
          <w:lang w:val="en-US"/>
        </w:rPr>
        <w:t xml:space="preserve">Stoytcheva M, Zlatev R, </w:t>
      </w:r>
      <w:proofErr w:type="spellStart"/>
      <w:r w:rsidRPr="006C734F">
        <w:rPr>
          <w:rFonts w:ascii="Times New Roman" w:hAnsi="Times New Roman"/>
          <w:b w:val="0"/>
          <w:sz w:val="20"/>
          <w:szCs w:val="20"/>
          <w:lang w:val="en-US"/>
        </w:rPr>
        <w:t>Velkova</w:t>
      </w:r>
      <w:proofErr w:type="spellEnd"/>
      <w:r w:rsidRPr="006C734F">
        <w:rPr>
          <w:rFonts w:ascii="Times New Roman" w:hAnsi="Times New Roman"/>
          <w:b w:val="0"/>
          <w:sz w:val="20"/>
          <w:szCs w:val="20"/>
          <w:lang w:val="en-US"/>
        </w:rPr>
        <w:t xml:space="preserve"> Z, Valdez B (2011) Organophosphorus pesticides determination by</w:t>
      </w:r>
      <w:r w:rsidR="0099655D" w:rsidRPr="006C734F">
        <w:rPr>
          <w:rFonts w:ascii="Times New Roman" w:hAnsi="Times New Roman"/>
          <w:b w:val="0"/>
          <w:sz w:val="20"/>
          <w:szCs w:val="20"/>
          <w:lang w:val="en-US"/>
        </w:rPr>
        <w:t xml:space="preserve"> </w:t>
      </w:r>
      <w:r w:rsidRPr="006C734F">
        <w:rPr>
          <w:rFonts w:ascii="Times New Roman" w:hAnsi="Times New Roman"/>
          <w:b w:val="0"/>
          <w:sz w:val="20"/>
          <w:szCs w:val="20"/>
          <w:lang w:val="en-US"/>
        </w:rPr>
        <w:t>electrochemical biosensors. In: Stoytcheva M (</w:t>
      </w:r>
      <w:proofErr w:type="spellStart"/>
      <w:r w:rsidRPr="006C734F">
        <w:rPr>
          <w:rFonts w:ascii="Times New Roman" w:hAnsi="Times New Roman"/>
          <w:b w:val="0"/>
          <w:sz w:val="20"/>
          <w:szCs w:val="20"/>
          <w:lang w:val="en-US"/>
        </w:rPr>
        <w:t>ed</w:t>
      </w:r>
      <w:proofErr w:type="spellEnd"/>
      <w:r w:rsidRPr="006C734F">
        <w:rPr>
          <w:rFonts w:ascii="Times New Roman" w:hAnsi="Times New Roman"/>
          <w:b w:val="0"/>
          <w:sz w:val="20"/>
          <w:szCs w:val="20"/>
          <w:lang w:val="en-US"/>
        </w:rPr>
        <w:t xml:space="preserve">) Pesticides-Strategies for pesticides analysis. </w:t>
      </w:r>
      <w:proofErr w:type="spellStart"/>
      <w:r w:rsidRPr="006C734F">
        <w:rPr>
          <w:rFonts w:ascii="Times New Roman" w:hAnsi="Times New Roman"/>
          <w:b w:val="0"/>
          <w:sz w:val="20"/>
          <w:szCs w:val="20"/>
          <w:lang w:val="en-US"/>
        </w:rPr>
        <w:t>InTech</w:t>
      </w:r>
      <w:proofErr w:type="spellEnd"/>
      <w:r w:rsidRPr="006C734F">
        <w:rPr>
          <w:rFonts w:ascii="Times New Roman" w:hAnsi="Times New Roman"/>
          <w:b w:val="0"/>
          <w:sz w:val="20"/>
          <w:szCs w:val="20"/>
          <w:lang w:val="en-US"/>
        </w:rPr>
        <w:t>,</w:t>
      </w:r>
      <w:r w:rsidR="0099655D" w:rsidRPr="006C734F">
        <w:rPr>
          <w:rFonts w:ascii="Times New Roman" w:hAnsi="Times New Roman"/>
          <w:b w:val="0"/>
          <w:sz w:val="20"/>
          <w:szCs w:val="20"/>
          <w:lang w:val="en-US"/>
        </w:rPr>
        <w:t xml:space="preserve"> </w:t>
      </w:r>
      <w:r w:rsidRPr="006C734F">
        <w:rPr>
          <w:rFonts w:ascii="Times New Roman" w:hAnsi="Times New Roman"/>
          <w:b w:val="0"/>
          <w:sz w:val="20"/>
          <w:szCs w:val="20"/>
          <w:lang w:val="en-US"/>
        </w:rPr>
        <w:t>Croatia, pp 359-372</w:t>
      </w:r>
    </w:p>
    <w:p w14:paraId="7DD185A7" w14:textId="0B7C991E" w:rsidR="009D391E" w:rsidRPr="006C734F" w:rsidRDefault="009D391E" w:rsidP="009D391E">
      <w:pPr>
        <w:pStyle w:val="RSCB06BHeadingSub-Section"/>
        <w:numPr>
          <w:ilvl w:val="0"/>
          <w:numId w:val="6"/>
        </w:numPr>
        <w:jc w:val="both"/>
        <w:rPr>
          <w:rFonts w:ascii="Times New Roman" w:hAnsi="Times New Roman"/>
          <w:b w:val="0"/>
          <w:sz w:val="20"/>
          <w:szCs w:val="20"/>
          <w:lang w:val="en-US"/>
        </w:rPr>
      </w:pPr>
      <w:r w:rsidRPr="006C734F">
        <w:rPr>
          <w:rFonts w:ascii="Times New Roman" w:hAnsi="Times New Roman"/>
          <w:b w:val="0"/>
          <w:sz w:val="20"/>
          <w:szCs w:val="20"/>
          <w:lang w:val="en-US"/>
        </w:rPr>
        <w:t>Stoytcheva M, Zlatev R (2014) Recent trends in the development of electrochemical biosensors for</w:t>
      </w:r>
      <w:r w:rsidR="0099655D" w:rsidRPr="006C734F">
        <w:rPr>
          <w:rFonts w:ascii="Times New Roman" w:hAnsi="Times New Roman"/>
          <w:b w:val="0"/>
          <w:sz w:val="20"/>
          <w:szCs w:val="20"/>
          <w:lang w:val="en-US"/>
        </w:rPr>
        <w:t xml:space="preserve"> </w:t>
      </w:r>
      <w:r w:rsidRPr="006C734F">
        <w:rPr>
          <w:rFonts w:ascii="Times New Roman" w:hAnsi="Times New Roman"/>
          <w:b w:val="0"/>
          <w:sz w:val="20"/>
          <w:szCs w:val="20"/>
          <w:lang w:val="en-US"/>
        </w:rPr>
        <w:t xml:space="preserve">organophosphorus pesticides determination. In: </w:t>
      </w:r>
      <w:proofErr w:type="spellStart"/>
      <w:r w:rsidRPr="006C734F">
        <w:rPr>
          <w:rFonts w:ascii="Times New Roman" w:hAnsi="Times New Roman"/>
          <w:b w:val="0"/>
          <w:sz w:val="20"/>
          <w:szCs w:val="20"/>
          <w:lang w:val="en-US"/>
        </w:rPr>
        <w:t>Aliofkhazraei</w:t>
      </w:r>
      <w:proofErr w:type="spellEnd"/>
      <w:r w:rsidRPr="006C734F">
        <w:rPr>
          <w:rFonts w:ascii="Times New Roman" w:hAnsi="Times New Roman"/>
          <w:b w:val="0"/>
          <w:sz w:val="20"/>
          <w:szCs w:val="20"/>
          <w:lang w:val="en-US"/>
        </w:rPr>
        <w:t xml:space="preserve"> M (</w:t>
      </w:r>
      <w:proofErr w:type="spellStart"/>
      <w:r w:rsidRPr="006C734F">
        <w:rPr>
          <w:rFonts w:ascii="Times New Roman" w:hAnsi="Times New Roman"/>
          <w:b w:val="0"/>
          <w:sz w:val="20"/>
          <w:szCs w:val="20"/>
          <w:lang w:val="en-US"/>
        </w:rPr>
        <w:t>ed</w:t>
      </w:r>
      <w:proofErr w:type="spellEnd"/>
      <w:r w:rsidRPr="006C734F">
        <w:rPr>
          <w:rFonts w:ascii="Times New Roman" w:hAnsi="Times New Roman"/>
          <w:b w:val="0"/>
          <w:sz w:val="20"/>
          <w:szCs w:val="20"/>
          <w:lang w:val="en-US"/>
        </w:rPr>
        <w:t>). Modern electrochemical methods in</w:t>
      </w:r>
      <w:r w:rsidR="0099655D" w:rsidRPr="006C734F">
        <w:rPr>
          <w:rFonts w:ascii="Times New Roman" w:hAnsi="Times New Roman"/>
          <w:b w:val="0"/>
          <w:sz w:val="20"/>
          <w:szCs w:val="20"/>
          <w:lang w:val="en-US"/>
        </w:rPr>
        <w:t xml:space="preserve"> </w:t>
      </w:r>
      <w:proofErr w:type="spellStart"/>
      <w:r w:rsidRPr="006C734F">
        <w:rPr>
          <w:rFonts w:ascii="Times New Roman" w:hAnsi="Times New Roman"/>
          <w:b w:val="0"/>
          <w:sz w:val="20"/>
          <w:szCs w:val="20"/>
          <w:lang w:val="en-US"/>
        </w:rPr>
        <w:t>nano</w:t>
      </w:r>
      <w:proofErr w:type="spellEnd"/>
      <w:r w:rsidRPr="006C734F">
        <w:rPr>
          <w:rFonts w:ascii="Times New Roman" w:hAnsi="Times New Roman"/>
          <w:b w:val="0"/>
          <w:sz w:val="20"/>
          <w:szCs w:val="20"/>
          <w:lang w:val="en-US"/>
        </w:rPr>
        <w:t xml:space="preserve">, surface and corrosion science. </w:t>
      </w:r>
      <w:proofErr w:type="spellStart"/>
      <w:r w:rsidRPr="006C734F">
        <w:rPr>
          <w:rFonts w:ascii="Times New Roman" w:hAnsi="Times New Roman"/>
          <w:b w:val="0"/>
          <w:sz w:val="20"/>
          <w:szCs w:val="20"/>
          <w:lang w:val="en-US"/>
        </w:rPr>
        <w:t>InTech</w:t>
      </w:r>
      <w:proofErr w:type="spellEnd"/>
      <w:r w:rsidRPr="006C734F">
        <w:rPr>
          <w:rFonts w:ascii="Times New Roman" w:hAnsi="Times New Roman"/>
          <w:b w:val="0"/>
          <w:sz w:val="20"/>
          <w:szCs w:val="20"/>
          <w:lang w:val="en-US"/>
        </w:rPr>
        <w:t>, Croatia, pp 83-97</w:t>
      </w:r>
    </w:p>
    <w:p w14:paraId="05AFF663" w14:textId="11153BC1" w:rsidR="00906BB0" w:rsidRPr="006C734F" w:rsidRDefault="00906BB0" w:rsidP="00B759EB">
      <w:pPr>
        <w:pStyle w:val="RSCB06BHeadingSub-Section"/>
        <w:numPr>
          <w:ilvl w:val="0"/>
          <w:numId w:val="6"/>
        </w:numPr>
        <w:jc w:val="both"/>
        <w:rPr>
          <w:rFonts w:ascii="Times New Roman" w:hAnsi="Times New Roman"/>
          <w:b w:val="0"/>
          <w:sz w:val="20"/>
          <w:szCs w:val="20"/>
          <w:lang w:val="en-US"/>
        </w:rPr>
      </w:pPr>
      <w:proofErr w:type="spellStart"/>
      <w:r w:rsidRPr="006C734F">
        <w:rPr>
          <w:rFonts w:ascii="Times New Roman" w:hAnsi="Times New Roman"/>
          <w:b w:val="0"/>
          <w:sz w:val="20"/>
          <w:szCs w:val="20"/>
          <w:lang w:val="es-MX"/>
        </w:rPr>
        <w:t>Arduini</w:t>
      </w:r>
      <w:proofErr w:type="spellEnd"/>
      <w:r w:rsidRPr="006C734F">
        <w:rPr>
          <w:rFonts w:ascii="Times New Roman" w:hAnsi="Times New Roman"/>
          <w:b w:val="0"/>
          <w:sz w:val="20"/>
          <w:szCs w:val="20"/>
          <w:lang w:val="es-MX"/>
        </w:rPr>
        <w:t xml:space="preserve">, F., </w:t>
      </w:r>
      <w:proofErr w:type="spellStart"/>
      <w:r w:rsidRPr="006C734F">
        <w:rPr>
          <w:rFonts w:ascii="Times New Roman" w:hAnsi="Times New Roman"/>
          <w:b w:val="0"/>
          <w:sz w:val="20"/>
          <w:szCs w:val="20"/>
          <w:lang w:val="es-MX"/>
        </w:rPr>
        <w:t>Cinti</w:t>
      </w:r>
      <w:proofErr w:type="spellEnd"/>
      <w:r w:rsidRPr="006C734F">
        <w:rPr>
          <w:rFonts w:ascii="Times New Roman" w:hAnsi="Times New Roman"/>
          <w:b w:val="0"/>
          <w:sz w:val="20"/>
          <w:szCs w:val="20"/>
          <w:lang w:val="es-MX"/>
        </w:rPr>
        <w:t xml:space="preserve">, S., </w:t>
      </w:r>
      <w:proofErr w:type="spellStart"/>
      <w:r w:rsidRPr="006C734F">
        <w:rPr>
          <w:rFonts w:ascii="Times New Roman" w:hAnsi="Times New Roman"/>
          <w:b w:val="0"/>
          <w:sz w:val="20"/>
          <w:szCs w:val="20"/>
          <w:lang w:val="es-MX"/>
        </w:rPr>
        <w:t>Scognamiglio</w:t>
      </w:r>
      <w:proofErr w:type="spellEnd"/>
      <w:r w:rsidRPr="006C734F">
        <w:rPr>
          <w:rFonts w:ascii="Times New Roman" w:hAnsi="Times New Roman"/>
          <w:b w:val="0"/>
          <w:sz w:val="20"/>
          <w:szCs w:val="20"/>
          <w:lang w:val="es-MX"/>
        </w:rPr>
        <w:t xml:space="preserve">, V., </w:t>
      </w:r>
      <w:proofErr w:type="spellStart"/>
      <w:r w:rsidRPr="006C734F">
        <w:rPr>
          <w:rFonts w:ascii="Times New Roman" w:hAnsi="Times New Roman"/>
          <w:b w:val="0"/>
          <w:sz w:val="20"/>
          <w:szCs w:val="20"/>
          <w:lang w:val="es-MX"/>
        </w:rPr>
        <w:t>Moscone</w:t>
      </w:r>
      <w:proofErr w:type="spellEnd"/>
      <w:r w:rsidRPr="006C734F">
        <w:rPr>
          <w:rFonts w:ascii="Times New Roman" w:hAnsi="Times New Roman"/>
          <w:b w:val="0"/>
          <w:sz w:val="20"/>
          <w:szCs w:val="20"/>
          <w:lang w:val="es-MX"/>
        </w:rPr>
        <w:t xml:space="preserve">, D (2016). </w:t>
      </w:r>
      <w:r w:rsidRPr="006C734F">
        <w:rPr>
          <w:rFonts w:ascii="Times New Roman" w:hAnsi="Times New Roman"/>
          <w:b w:val="0"/>
          <w:sz w:val="20"/>
          <w:szCs w:val="20"/>
          <w:lang w:val="en-US"/>
        </w:rPr>
        <w:t xml:space="preserve">Nanomaterials in electrochemical biosensors for pesticide detection: advances and challenges in food analysis. </w:t>
      </w:r>
      <w:proofErr w:type="spellStart"/>
      <w:r w:rsidRPr="006C734F">
        <w:rPr>
          <w:rFonts w:ascii="Times New Roman" w:hAnsi="Times New Roman"/>
          <w:b w:val="0"/>
          <w:sz w:val="20"/>
          <w:szCs w:val="20"/>
          <w:lang w:val="en-US"/>
        </w:rPr>
        <w:t>Microchimica</w:t>
      </w:r>
      <w:proofErr w:type="spellEnd"/>
      <w:r w:rsidRPr="006C734F">
        <w:rPr>
          <w:rFonts w:ascii="Times New Roman" w:hAnsi="Times New Roman"/>
          <w:b w:val="0"/>
          <w:sz w:val="20"/>
          <w:szCs w:val="20"/>
          <w:lang w:val="en-US"/>
        </w:rPr>
        <w:t xml:space="preserve"> </w:t>
      </w:r>
      <w:proofErr w:type="spellStart"/>
      <w:r w:rsidRPr="006C734F">
        <w:rPr>
          <w:rFonts w:ascii="Times New Roman" w:hAnsi="Times New Roman"/>
          <w:b w:val="0"/>
          <w:sz w:val="20"/>
          <w:szCs w:val="20"/>
          <w:lang w:val="en-US"/>
        </w:rPr>
        <w:t>Acta</w:t>
      </w:r>
      <w:proofErr w:type="spellEnd"/>
      <w:r w:rsidRPr="006C734F">
        <w:rPr>
          <w:rFonts w:ascii="Times New Roman" w:hAnsi="Times New Roman"/>
          <w:b w:val="0"/>
          <w:sz w:val="20"/>
          <w:szCs w:val="20"/>
          <w:lang w:val="en-US"/>
        </w:rPr>
        <w:t xml:space="preserve"> 183:2063-2083</w:t>
      </w:r>
    </w:p>
    <w:p w14:paraId="502D5C6A" w14:textId="79425BD2" w:rsidR="009D391E" w:rsidRPr="006C734F" w:rsidRDefault="009D391E" w:rsidP="009D391E">
      <w:pPr>
        <w:pStyle w:val="RSCB06BHeadingSub-Section"/>
        <w:numPr>
          <w:ilvl w:val="0"/>
          <w:numId w:val="6"/>
        </w:numPr>
        <w:jc w:val="both"/>
        <w:rPr>
          <w:rFonts w:ascii="Times New Roman" w:hAnsi="Times New Roman"/>
          <w:b w:val="0"/>
          <w:sz w:val="20"/>
          <w:szCs w:val="20"/>
          <w:lang w:val="en-US"/>
        </w:rPr>
      </w:pPr>
      <w:proofErr w:type="spellStart"/>
      <w:r w:rsidRPr="006C734F">
        <w:rPr>
          <w:rFonts w:ascii="Times New Roman" w:hAnsi="Times New Roman"/>
          <w:b w:val="0"/>
          <w:sz w:val="20"/>
          <w:szCs w:val="20"/>
          <w:lang w:val="en-US"/>
        </w:rPr>
        <w:t>Garrido</w:t>
      </w:r>
      <w:proofErr w:type="spellEnd"/>
      <w:r w:rsidRPr="006C734F">
        <w:rPr>
          <w:rFonts w:ascii="Times New Roman" w:hAnsi="Times New Roman"/>
          <w:b w:val="0"/>
          <w:sz w:val="20"/>
          <w:szCs w:val="20"/>
          <w:lang w:val="en-US"/>
        </w:rPr>
        <w:t xml:space="preserve"> EM, </w:t>
      </w:r>
      <w:proofErr w:type="spellStart"/>
      <w:r w:rsidRPr="006C734F">
        <w:rPr>
          <w:rFonts w:ascii="Times New Roman" w:hAnsi="Times New Roman"/>
          <w:b w:val="0"/>
          <w:sz w:val="20"/>
          <w:szCs w:val="20"/>
          <w:lang w:val="en-US"/>
        </w:rPr>
        <w:t>Delerue</w:t>
      </w:r>
      <w:proofErr w:type="spellEnd"/>
      <w:r w:rsidRPr="006C734F">
        <w:rPr>
          <w:rFonts w:ascii="Times New Roman" w:hAnsi="Times New Roman"/>
          <w:b w:val="0"/>
          <w:sz w:val="20"/>
          <w:szCs w:val="20"/>
          <w:lang w:val="en-US"/>
        </w:rPr>
        <w:t>-Matos C, Lima JLFC, Brett AMO (2004) Electrochemical methods in pesticides</w:t>
      </w:r>
      <w:r w:rsidR="0099655D" w:rsidRPr="006C734F">
        <w:rPr>
          <w:rFonts w:ascii="Times New Roman" w:hAnsi="Times New Roman"/>
          <w:b w:val="0"/>
          <w:sz w:val="20"/>
          <w:szCs w:val="20"/>
          <w:lang w:val="en-US"/>
        </w:rPr>
        <w:t xml:space="preserve"> </w:t>
      </w:r>
      <w:r w:rsidRPr="006C734F">
        <w:rPr>
          <w:rFonts w:ascii="Times New Roman" w:hAnsi="Times New Roman"/>
          <w:b w:val="0"/>
          <w:sz w:val="20"/>
          <w:szCs w:val="20"/>
          <w:lang w:val="en-US"/>
        </w:rPr>
        <w:t>control. Analytical Letters 37:1755-1791</w:t>
      </w:r>
    </w:p>
    <w:p w14:paraId="4D324D8C" w14:textId="56297415" w:rsidR="009D391E" w:rsidRPr="006C734F" w:rsidRDefault="009D391E" w:rsidP="009D391E">
      <w:pPr>
        <w:pStyle w:val="RSCB06BHeadingSub-Section"/>
        <w:numPr>
          <w:ilvl w:val="0"/>
          <w:numId w:val="6"/>
        </w:numPr>
        <w:jc w:val="both"/>
        <w:rPr>
          <w:rFonts w:ascii="Times New Roman" w:hAnsi="Times New Roman"/>
          <w:b w:val="0"/>
          <w:sz w:val="20"/>
          <w:szCs w:val="20"/>
          <w:lang w:val="en-US"/>
        </w:rPr>
      </w:pPr>
      <w:proofErr w:type="spellStart"/>
      <w:r w:rsidRPr="006C734F">
        <w:rPr>
          <w:rFonts w:ascii="Times New Roman" w:hAnsi="Times New Roman"/>
          <w:b w:val="0"/>
          <w:sz w:val="20"/>
          <w:szCs w:val="20"/>
          <w:lang w:val="en-US"/>
        </w:rPr>
        <w:t>Gajdar</w:t>
      </w:r>
      <w:proofErr w:type="spellEnd"/>
      <w:r w:rsidRPr="006C734F">
        <w:rPr>
          <w:rFonts w:ascii="Times New Roman" w:hAnsi="Times New Roman"/>
          <w:b w:val="0"/>
          <w:sz w:val="20"/>
          <w:szCs w:val="20"/>
          <w:lang w:val="en-US"/>
        </w:rPr>
        <w:t xml:space="preserve"> J, </w:t>
      </w:r>
      <w:proofErr w:type="spellStart"/>
      <w:r w:rsidRPr="006C734F">
        <w:rPr>
          <w:rFonts w:ascii="Times New Roman" w:hAnsi="Times New Roman"/>
          <w:b w:val="0"/>
          <w:sz w:val="20"/>
          <w:szCs w:val="20"/>
          <w:lang w:val="en-US"/>
        </w:rPr>
        <w:t>Horakova</w:t>
      </w:r>
      <w:proofErr w:type="spellEnd"/>
      <w:r w:rsidRPr="006C734F">
        <w:rPr>
          <w:rFonts w:ascii="Times New Roman" w:hAnsi="Times New Roman"/>
          <w:b w:val="0"/>
          <w:sz w:val="20"/>
          <w:szCs w:val="20"/>
          <w:lang w:val="en-US"/>
        </w:rPr>
        <w:t xml:space="preserve"> E, </w:t>
      </w:r>
      <w:proofErr w:type="spellStart"/>
      <w:r w:rsidRPr="006C734F">
        <w:rPr>
          <w:rFonts w:ascii="Times New Roman" w:hAnsi="Times New Roman"/>
          <w:b w:val="0"/>
          <w:sz w:val="20"/>
          <w:szCs w:val="20"/>
          <w:lang w:val="en-US"/>
        </w:rPr>
        <w:t>Barek</w:t>
      </w:r>
      <w:proofErr w:type="spellEnd"/>
      <w:r w:rsidRPr="006C734F">
        <w:rPr>
          <w:rFonts w:ascii="Times New Roman" w:hAnsi="Times New Roman"/>
          <w:b w:val="0"/>
          <w:sz w:val="20"/>
          <w:szCs w:val="20"/>
          <w:lang w:val="en-US"/>
        </w:rPr>
        <w:t xml:space="preserve"> J, Fischer J, </w:t>
      </w:r>
      <w:proofErr w:type="spellStart"/>
      <w:r w:rsidRPr="006C734F">
        <w:rPr>
          <w:rFonts w:ascii="Times New Roman" w:hAnsi="Times New Roman"/>
          <w:b w:val="0"/>
          <w:sz w:val="20"/>
          <w:szCs w:val="20"/>
          <w:lang w:val="en-US"/>
        </w:rPr>
        <w:t>Vyskocil</w:t>
      </w:r>
      <w:proofErr w:type="spellEnd"/>
      <w:r w:rsidRPr="006C734F">
        <w:rPr>
          <w:rFonts w:ascii="Times New Roman" w:hAnsi="Times New Roman"/>
          <w:b w:val="0"/>
          <w:sz w:val="20"/>
          <w:szCs w:val="20"/>
          <w:lang w:val="en-US"/>
        </w:rPr>
        <w:t xml:space="preserve"> V (2016) Recent applications of mercury electrodes for</w:t>
      </w:r>
      <w:r w:rsidR="0099655D" w:rsidRPr="006C734F">
        <w:rPr>
          <w:rFonts w:ascii="Times New Roman" w:hAnsi="Times New Roman"/>
          <w:b w:val="0"/>
          <w:sz w:val="20"/>
          <w:szCs w:val="20"/>
          <w:lang w:val="en-US"/>
        </w:rPr>
        <w:t xml:space="preserve"> </w:t>
      </w:r>
      <w:r w:rsidRPr="006C734F">
        <w:rPr>
          <w:rFonts w:ascii="Times New Roman" w:hAnsi="Times New Roman"/>
          <w:b w:val="0"/>
          <w:sz w:val="20"/>
          <w:szCs w:val="20"/>
          <w:lang w:val="en-US"/>
        </w:rPr>
        <w:t>monitoring of pesticides: A critical review. Electroanalysis 28:2659–2671</w:t>
      </w:r>
    </w:p>
    <w:p w14:paraId="2BDCBA17" w14:textId="57A145EE" w:rsidR="009D391E" w:rsidRPr="00314E4C" w:rsidRDefault="009D391E" w:rsidP="009D391E">
      <w:pPr>
        <w:pStyle w:val="RSCB06BHeadingSub-Section"/>
        <w:numPr>
          <w:ilvl w:val="0"/>
          <w:numId w:val="6"/>
        </w:numPr>
        <w:jc w:val="both"/>
        <w:rPr>
          <w:rFonts w:ascii="Times New Roman" w:hAnsi="Times New Roman"/>
          <w:b w:val="0"/>
          <w:sz w:val="20"/>
          <w:szCs w:val="20"/>
          <w:lang w:val="en-US"/>
        </w:rPr>
      </w:pPr>
      <w:r w:rsidRPr="006C734F">
        <w:rPr>
          <w:rFonts w:ascii="Times New Roman" w:hAnsi="Times New Roman"/>
          <w:b w:val="0"/>
          <w:sz w:val="20"/>
          <w:szCs w:val="20"/>
          <w:lang w:val="en-US"/>
        </w:rPr>
        <w:t>Wang H, Su Y, Kim H, Yong D, Wang L, Han X (2015) A highly efficient ZrO</w:t>
      </w:r>
      <w:r w:rsidRPr="006C734F">
        <w:rPr>
          <w:rFonts w:ascii="Times New Roman" w:hAnsi="Times New Roman"/>
          <w:b w:val="0"/>
          <w:sz w:val="20"/>
          <w:szCs w:val="20"/>
          <w:vertAlign w:val="subscript"/>
          <w:lang w:val="en-US"/>
        </w:rPr>
        <w:t>2</w:t>
      </w:r>
      <w:r w:rsidRPr="006C734F">
        <w:rPr>
          <w:rFonts w:ascii="Times New Roman" w:hAnsi="Times New Roman"/>
          <w:b w:val="0"/>
          <w:sz w:val="20"/>
          <w:szCs w:val="20"/>
          <w:lang w:val="en-US"/>
        </w:rPr>
        <w:t xml:space="preserve"> nanoparticle based</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 xml:space="preserve">electrochemical sensor for the detection of organophosphorus pesticides. Chin J </w:t>
      </w:r>
      <w:proofErr w:type="spellStart"/>
      <w:r w:rsidRPr="00314E4C">
        <w:rPr>
          <w:rFonts w:ascii="Times New Roman" w:hAnsi="Times New Roman"/>
          <w:b w:val="0"/>
          <w:sz w:val="20"/>
          <w:szCs w:val="20"/>
          <w:lang w:val="en-US"/>
        </w:rPr>
        <w:t>Chem</w:t>
      </w:r>
      <w:proofErr w:type="spellEnd"/>
      <w:r w:rsidRPr="00314E4C">
        <w:rPr>
          <w:rFonts w:ascii="Times New Roman" w:hAnsi="Times New Roman"/>
          <w:b w:val="0"/>
          <w:sz w:val="20"/>
          <w:szCs w:val="20"/>
          <w:lang w:val="en-US"/>
        </w:rPr>
        <w:t xml:space="preserve"> 33:1135-1139</w:t>
      </w:r>
    </w:p>
    <w:p w14:paraId="2B83D8F3" w14:textId="77777777" w:rsidR="0099655D" w:rsidRPr="00314E4C" w:rsidRDefault="009D391E" w:rsidP="009D391E">
      <w:pPr>
        <w:pStyle w:val="RSCB06BHeadingSub-Section"/>
        <w:numPr>
          <w:ilvl w:val="0"/>
          <w:numId w:val="6"/>
        </w:numPr>
        <w:jc w:val="both"/>
        <w:rPr>
          <w:rFonts w:ascii="Times New Roman" w:hAnsi="Times New Roman"/>
          <w:b w:val="0"/>
          <w:sz w:val="20"/>
          <w:szCs w:val="20"/>
          <w:lang w:val="en-US"/>
        </w:rPr>
      </w:pPr>
      <w:proofErr w:type="spellStart"/>
      <w:r w:rsidRPr="00314E4C">
        <w:rPr>
          <w:rFonts w:ascii="Times New Roman" w:hAnsi="Times New Roman"/>
          <w:b w:val="0"/>
          <w:sz w:val="20"/>
          <w:szCs w:val="20"/>
          <w:lang w:val="en-US"/>
        </w:rPr>
        <w:t>Anandhakumar</w:t>
      </w:r>
      <w:proofErr w:type="spellEnd"/>
      <w:r w:rsidRPr="00314E4C">
        <w:rPr>
          <w:rFonts w:ascii="Times New Roman" w:hAnsi="Times New Roman"/>
          <w:b w:val="0"/>
          <w:sz w:val="20"/>
          <w:szCs w:val="20"/>
          <w:lang w:val="en-US"/>
        </w:rPr>
        <w:t xml:space="preserve"> S, </w:t>
      </w:r>
      <w:proofErr w:type="spellStart"/>
      <w:r w:rsidRPr="00314E4C">
        <w:rPr>
          <w:rFonts w:ascii="Times New Roman" w:hAnsi="Times New Roman"/>
          <w:b w:val="0"/>
          <w:sz w:val="20"/>
          <w:szCs w:val="20"/>
          <w:lang w:val="en-US"/>
        </w:rPr>
        <w:t>Dhanalakshmi</w:t>
      </w:r>
      <w:proofErr w:type="spellEnd"/>
      <w:r w:rsidRPr="00314E4C">
        <w:rPr>
          <w:rFonts w:ascii="Times New Roman" w:hAnsi="Times New Roman"/>
          <w:b w:val="0"/>
          <w:sz w:val="20"/>
          <w:szCs w:val="20"/>
          <w:lang w:val="en-US"/>
        </w:rPr>
        <w:t xml:space="preserve"> K, </w:t>
      </w:r>
      <w:proofErr w:type="spellStart"/>
      <w:r w:rsidRPr="00314E4C">
        <w:rPr>
          <w:rFonts w:ascii="Times New Roman" w:hAnsi="Times New Roman"/>
          <w:b w:val="0"/>
          <w:sz w:val="20"/>
          <w:szCs w:val="20"/>
          <w:lang w:val="en-US"/>
        </w:rPr>
        <w:t>Mathiyarasu</w:t>
      </w:r>
      <w:proofErr w:type="spellEnd"/>
      <w:r w:rsidRPr="00314E4C">
        <w:rPr>
          <w:rFonts w:ascii="Times New Roman" w:hAnsi="Times New Roman"/>
          <w:b w:val="0"/>
          <w:sz w:val="20"/>
          <w:szCs w:val="20"/>
          <w:lang w:val="en-US"/>
        </w:rPr>
        <w:t xml:space="preserve"> J (2014) Non-enzymatic organophosphorus pesticide</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 xml:space="preserve">detection using gold atomic cluster modified electrode. </w:t>
      </w:r>
      <w:proofErr w:type="spellStart"/>
      <w:r w:rsidRPr="00314E4C">
        <w:rPr>
          <w:rFonts w:ascii="Times New Roman" w:hAnsi="Times New Roman"/>
          <w:b w:val="0"/>
          <w:sz w:val="20"/>
          <w:szCs w:val="20"/>
          <w:lang w:val="en-US"/>
        </w:rPr>
        <w:t>Electrochem</w:t>
      </w:r>
      <w:proofErr w:type="spellEnd"/>
      <w:r w:rsidRPr="00314E4C">
        <w:rPr>
          <w:rFonts w:ascii="Times New Roman" w:hAnsi="Times New Roman"/>
          <w:b w:val="0"/>
          <w:sz w:val="20"/>
          <w:szCs w:val="20"/>
          <w:lang w:val="en-US"/>
        </w:rPr>
        <w:t xml:space="preserve"> </w:t>
      </w:r>
      <w:proofErr w:type="spellStart"/>
      <w:r w:rsidRPr="00314E4C">
        <w:rPr>
          <w:rFonts w:ascii="Times New Roman" w:hAnsi="Times New Roman"/>
          <w:b w:val="0"/>
          <w:sz w:val="20"/>
          <w:szCs w:val="20"/>
          <w:lang w:val="en-US"/>
        </w:rPr>
        <w:t>Commun</w:t>
      </w:r>
      <w:proofErr w:type="spellEnd"/>
      <w:r w:rsidRPr="00314E4C">
        <w:rPr>
          <w:rFonts w:ascii="Times New Roman" w:hAnsi="Times New Roman"/>
          <w:b w:val="0"/>
          <w:sz w:val="20"/>
          <w:szCs w:val="20"/>
          <w:lang w:val="en-US"/>
        </w:rPr>
        <w:t xml:space="preserve"> 38:15-18</w:t>
      </w:r>
    </w:p>
    <w:p w14:paraId="51D9ECA9" w14:textId="11445D83" w:rsidR="009D391E" w:rsidRPr="00314E4C" w:rsidRDefault="009D391E" w:rsidP="009D391E">
      <w:pPr>
        <w:pStyle w:val="RSCB06BHeadingSub-Section"/>
        <w:numPr>
          <w:ilvl w:val="0"/>
          <w:numId w:val="6"/>
        </w:numPr>
        <w:jc w:val="both"/>
        <w:rPr>
          <w:rFonts w:ascii="Times New Roman" w:hAnsi="Times New Roman"/>
          <w:b w:val="0"/>
          <w:sz w:val="20"/>
          <w:szCs w:val="20"/>
          <w:lang w:val="en-US"/>
        </w:rPr>
      </w:pPr>
      <w:r w:rsidRPr="00314E4C">
        <w:rPr>
          <w:rFonts w:ascii="Times New Roman" w:hAnsi="Times New Roman"/>
          <w:b w:val="0"/>
          <w:sz w:val="20"/>
          <w:szCs w:val="20"/>
          <w:lang w:val="en-US"/>
        </w:rPr>
        <w:t xml:space="preserve">15. Li C, Wang C, Ma Y, </w:t>
      </w:r>
      <w:proofErr w:type="spellStart"/>
      <w:r w:rsidRPr="00314E4C">
        <w:rPr>
          <w:rFonts w:ascii="Times New Roman" w:hAnsi="Times New Roman"/>
          <w:b w:val="0"/>
          <w:sz w:val="20"/>
          <w:szCs w:val="20"/>
          <w:lang w:val="en-US"/>
        </w:rPr>
        <w:t>Bao</w:t>
      </w:r>
      <w:proofErr w:type="spellEnd"/>
      <w:r w:rsidRPr="00314E4C">
        <w:rPr>
          <w:rFonts w:ascii="Times New Roman" w:hAnsi="Times New Roman"/>
          <w:b w:val="0"/>
          <w:sz w:val="20"/>
          <w:szCs w:val="20"/>
          <w:lang w:val="en-US"/>
        </w:rPr>
        <w:t xml:space="preserve"> W, Hu S (2005) A novel amperometric sensor and chromatographic detector for</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 xml:space="preserve">determination of parathion. Anal </w:t>
      </w:r>
      <w:proofErr w:type="spellStart"/>
      <w:r w:rsidRPr="00314E4C">
        <w:rPr>
          <w:rFonts w:ascii="Times New Roman" w:hAnsi="Times New Roman"/>
          <w:b w:val="0"/>
          <w:sz w:val="20"/>
          <w:szCs w:val="20"/>
          <w:lang w:val="en-US"/>
        </w:rPr>
        <w:t>Bioanal</w:t>
      </w:r>
      <w:proofErr w:type="spellEnd"/>
      <w:r w:rsidRPr="00314E4C">
        <w:rPr>
          <w:rFonts w:ascii="Times New Roman" w:hAnsi="Times New Roman"/>
          <w:b w:val="0"/>
          <w:sz w:val="20"/>
          <w:szCs w:val="20"/>
          <w:lang w:val="en-US"/>
        </w:rPr>
        <w:t xml:space="preserve"> </w:t>
      </w:r>
      <w:proofErr w:type="spellStart"/>
      <w:r w:rsidRPr="00314E4C">
        <w:rPr>
          <w:rFonts w:ascii="Times New Roman" w:hAnsi="Times New Roman"/>
          <w:b w:val="0"/>
          <w:sz w:val="20"/>
          <w:szCs w:val="20"/>
          <w:lang w:val="en-US"/>
        </w:rPr>
        <w:t>Chem</w:t>
      </w:r>
      <w:proofErr w:type="spellEnd"/>
      <w:r w:rsidRPr="00314E4C">
        <w:rPr>
          <w:rFonts w:ascii="Times New Roman" w:hAnsi="Times New Roman"/>
          <w:b w:val="0"/>
          <w:sz w:val="20"/>
          <w:szCs w:val="20"/>
          <w:lang w:val="en-US"/>
        </w:rPr>
        <w:t xml:space="preserve"> 381:1049–1055</w:t>
      </w:r>
    </w:p>
    <w:p w14:paraId="5EE9E99B" w14:textId="122BF360" w:rsidR="009D391E" w:rsidRPr="00314E4C" w:rsidRDefault="009D391E" w:rsidP="009D391E">
      <w:pPr>
        <w:pStyle w:val="RSCB06BHeadingSub-Section"/>
        <w:numPr>
          <w:ilvl w:val="0"/>
          <w:numId w:val="6"/>
        </w:numPr>
        <w:jc w:val="both"/>
        <w:rPr>
          <w:rFonts w:ascii="Times New Roman" w:hAnsi="Times New Roman"/>
          <w:b w:val="0"/>
          <w:sz w:val="20"/>
          <w:szCs w:val="20"/>
          <w:lang w:val="en-US"/>
        </w:rPr>
      </w:pPr>
      <w:r w:rsidRPr="00314E4C">
        <w:rPr>
          <w:rFonts w:ascii="Times New Roman" w:hAnsi="Times New Roman"/>
          <w:b w:val="0"/>
          <w:sz w:val="20"/>
          <w:szCs w:val="20"/>
          <w:lang w:val="en-US"/>
        </w:rPr>
        <w:t>Ma JC, Zhang WD (2011) Gold nanoparticle-coated multiwall carbon nanotube-modified electrode for</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 xml:space="preserve">electrochemical determination of methyl parathion. </w:t>
      </w:r>
      <w:proofErr w:type="spellStart"/>
      <w:r w:rsidRPr="00314E4C">
        <w:rPr>
          <w:rFonts w:ascii="Times New Roman" w:hAnsi="Times New Roman"/>
          <w:b w:val="0"/>
          <w:sz w:val="20"/>
          <w:szCs w:val="20"/>
          <w:lang w:val="en-US"/>
        </w:rPr>
        <w:t>Microchim</w:t>
      </w:r>
      <w:proofErr w:type="spellEnd"/>
      <w:r w:rsidRPr="00314E4C">
        <w:rPr>
          <w:rFonts w:ascii="Times New Roman" w:hAnsi="Times New Roman"/>
          <w:b w:val="0"/>
          <w:sz w:val="20"/>
          <w:szCs w:val="20"/>
          <w:lang w:val="en-US"/>
        </w:rPr>
        <w:t xml:space="preserve"> </w:t>
      </w:r>
      <w:proofErr w:type="spellStart"/>
      <w:r w:rsidRPr="00314E4C">
        <w:rPr>
          <w:rFonts w:ascii="Times New Roman" w:hAnsi="Times New Roman"/>
          <w:b w:val="0"/>
          <w:sz w:val="20"/>
          <w:szCs w:val="20"/>
          <w:lang w:val="en-US"/>
        </w:rPr>
        <w:t>Acta</w:t>
      </w:r>
      <w:proofErr w:type="spellEnd"/>
      <w:r w:rsidRPr="00314E4C">
        <w:rPr>
          <w:rFonts w:ascii="Times New Roman" w:hAnsi="Times New Roman"/>
          <w:b w:val="0"/>
          <w:sz w:val="20"/>
          <w:szCs w:val="20"/>
          <w:lang w:val="en-US"/>
        </w:rPr>
        <w:t xml:space="preserve"> 175:309–314</w:t>
      </w:r>
    </w:p>
    <w:p w14:paraId="5F9EFACE" w14:textId="78744418" w:rsidR="009D391E" w:rsidRPr="00314E4C" w:rsidRDefault="009D391E" w:rsidP="009D391E">
      <w:pPr>
        <w:pStyle w:val="RSCB06BHeadingSub-Section"/>
        <w:numPr>
          <w:ilvl w:val="0"/>
          <w:numId w:val="6"/>
        </w:numPr>
        <w:jc w:val="both"/>
        <w:rPr>
          <w:rFonts w:ascii="Times New Roman" w:hAnsi="Times New Roman"/>
          <w:b w:val="0"/>
          <w:sz w:val="20"/>
          <w:szCs w:val="20"/>
          <w:lang w:val="en-US"/>
        </w:rPr>
      </w:pPr>
      <w:r w:rsidRPr="00314E4C">
        <w:rPr>
          <w:rFonts w:ascii="Times New Roman" w:hAnsi="Times New Roman"/>
          <w:b w:val="0"/>
          <w:sz w:val="20"/>
          <w:szCs w:val="20"/>
          <w:lang w:val="en-US"/>
        </w:rPr>
        <w:t>Huang B, Zhang WD, Chen CH, Yu YX. (2010) Electrochemical determination of methyl parathion at a</w:t>
      </w:r>
      <w:r w:rsidR="0099655D" w:rsidRPr="00314E4C">
        <w:rPr>
          <w:rFonts w:ascii="Times New Roman" w:hAnsi="Times New Roman"/>
          <w:b w:val="0"/>
          <w:sz w:val="20"/>
          <w:szCs w:val="20"/>
          <w:lang w:val="en-US"/>
        </w:rPr>
        <w:t xml:space="preserve"> </w:t>
      </w:r>
      <w:proofErr w:type="spellStart"/>
      <w:r w:rsidRPr="00314E4C">
        <w:rPr>
          <w:rFonts w:ascii="Times New Roman" w:hAnsi="Times New Roman"/>
          <w:b w:val="0"/>
          <w:sz w:val="20"/>
          <w:szCs w:val="20"/>
          <w:lang w:val="en-US"/>
        </w:rPr>
        <w:t>Pd</w:t>
      </w:r>
      <w:proofErr w:type="spellEnd"/>
      <w:r w:rsidRPr="00314E4C">
        <w:rPr>
          <w:rFonts w:ascii="Times New Roman" w:hAnsi="Times New Roman"/>
          <w:b w:val="0"/>
          <w:sz w:val="20"/>
          <w:szCs w:val="20"/>
          <w:lang w:val="en-US"/>
        </w:rPr>
        <w:t xml:space="preserve">/MWCNTs-modified electrode. </w:t>
      </w:r>
      <w:proofErr w:type="spellStart"/>
      <w:r w:rsidRPr="00314E4C">
        <w:rPr>
          <w:rFonts w:ascii="Times New Roman" w:hAnsi="Times New Roman"/>
          <w:b w:val="0"/>
          <w:sz w:val="20"/>
          <w:szCs w:val="20"/>
          <w:lang w:val="en-US"/>
        </w:rPr>
        <w:t>Microchim</w:t>
      </w:r>
      <w:proofErr w:type="spellEnd"/>
      <w:r w:rsidRPr="00314E4C">
        <w:rPr>
          <w:rFonts w:ascii="Times New Roman" w:hAnsi="Times New Roman"/>
          <w:b w:val="0"/>
          <w:sz w:val="20"/>
          <w:szCs w:val="20"/>
          <w:lang w:val="en-US"/>
        </w:rPr>
        <w:t xml:space="preserve"> </w:t>
      </w:r>
      <w:proofErr w:type="spellStart"/>
      <w:r w:rsidRPr="00314E4C">
        <w:rPr>
          <w:rFonts w:ascii="Times New Roman" w:hAnsi="Times New Roman"/>
          <w:b w:val="0"/>
          <w:sz w:val="20"/>
          <w:szCs w:val="20"/>
          <w:lang w:val="en-US"/>
        </w:rPr>
        <w:t>Acta</w:t>
      </w:r>
      <w:proofErr w:type="spellEnd"/>
      <w:r w:rsidRPr="00314E4C">
        <w:rPr>
          <w:rFonts w:ascii="Times New Roman" w:hAnsi="Times New Roman"/>
          <w:b w:val="0"/>
          <w:sz w:val="20"/>
          <w:szCs w:val="20"/>
          <w:lang w:val="en-US"/>
        </w:rPr>
        <w:t xml:space="preserve"> 171:57-62</w:t>
      </w:r>
    </w:p>
    <w:p w14:paraId="00FD9C3C" w14:textId="27F31932" w:rsidR="009D391E" w:rsidRPr="00314E4C" w:rsidRDefault="009D391E" w:rsidP="009D391E">
      <w:pPr>
        <w:pStyle w:val="RSCB06BHeadingSub-Section"/>
        <w:numPr>
          <w:ilvl w:val="0"/>
          <w:numId w:val="6"/>
        </w:numPr>
        <w:jc w:val="both"/>
        <w:rPr>
          <w:rFonts w:ascii="Times New Roman" w:hAnsi="Times New Roman"/>
          <w:b w:val="0"/>
          <w:sz w:val="20"/>
          <w:szCs w:val="20"/>
          <w:lang w:val="en-US"/>
        </w:rPr>
      </w:pPr>
      <w:proofErr w:type="spellStart"/>
      <w:r w:rsidRPr="00314E4C">
        <w:rPr>
          <w:rFonts w:ascii="Times New Roman" w:hAnsi="Times New Roman"/>
          <w:b w:val="0"/>
          <w:sz w:val="20"/>
          <w:szCs w:val="20"/>
          <w:lang w:val="en-US"/>
        </w:rPr>
        <w:t>Musameh</w:t>
      </w:r>
      <w:proofErr w:type="spellEnd"/>
      <w:r w:rsidRPr="00314E4C">
        <w:rPr>
          <w:rFonts w:ascii="Times New Roman" w:hAnsi="Times New Roman"/>
          <w:b w:val="0"/>
          <w:sz w:val="20"/>
          <w:szCs w:val="20"/>
          <w:lang w:val="en-US"/>
        </w:rPr>
        <w:t xml:space="preserve"> M, </w:t>
      </w:r>
      <w:proofErr w:type="spellStart"/>
      <w:r w:rsidRPr="00314E4C">
        <w:rPr>
          <w:rFonts w:ascii="Times New Roman" w:hAnsi="Times New Roman"/>
          <w:b w:val="0"/>
          <w:sz w:val="20"/>
          <w:szCs w:val="20"/>
          <w:lang w:val="en-US"/>
        </w:rPr>
        <w:t>Notivoli</w:t>
      </w:r>
      <w:proofErr w:type="spellEnd"/>
      <w:r w:rsidRPr="00314E4C">
        <w:rPr>
          <w:rFonts w:ascii="Times New Roman" w:hAnsi="Times New Roman"/>
          <w:b w:val="0"/>
          <w:sz w:val="20"/>
          <w:szCs w:val="20"/>
          <w:lang w:val="en-US"/>
        </w:rPr>
        <w:t xml:space="preserve"> MR, Hickey M, Huynh CP, Hawkins SC, Yousef JM, </w:t>
      </w:r>
      <w:proofErr w:type="spellStart"/>
      <w:r w:rsidRPr="00314E4C">
        <w:rPr>
          <w:rFonts w:ascii="Times New Roman" w:hAnsi="Times New Roman"/>
          <w:b w:val="0"/>
          <w:sz w:val="20"/>
          <w:szCs w:val="20"/>
          <w:lang w:val="en-US"/>
        </w:rPr>
        <w:t>Kyratzis</w:t>
      </w:r>
      <w:proofErr w:type="spellEnd"/>
      <w:r w:rsidRPr="00314E4C">
        <w:rPr>
          <w:rFonts w:ascii="Times New Roman" w:hAnsi="Times New Roman"/>
          <w:b w:val="0"/>
          <w:sz w:val="20"/>
          <w:szCs w:val="20"/>
          <w:lang w:val="en-US"/>
        </w:rPr>
        <w:t xml:space="preserve"> IL (2013) Carbon</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 xml:space="preserve">nanotube-web modified electrodes for ultrasensitive detection of organophosphate pesticides. </w:t>
      </w:r>
      <w:proofErr w:type="spellStart"/>
      <w:r w:rsidRPr="00314E4C">
        <w:rPr>
          <w:rFonts w:ascii="Times New Roman" w:hAnsi="Times New Roman"/>
          <w:b w:val="0"/>
          <w:sz w:val="20"/>
          <w:szCs w:val="20"/>
          <w:lang w:val="en-US"/>
        </w:rPr>
        <w:t>Electrochim</w:t>
      </w:r>
      <w:proofErr w:type="spellEnd"/>
      <w:r w:rsidR="0099655D" w:rsidRPr="00314E4C">
        <w:rPr>
          <w:rFonts w:ascii="Times New Roman" w:hAnsi="Times New Roman"/>
          <w:b w:val="0"/>
          <w:sz w:val="20"/>
          <w:szCs w:val="20"/>
          <w:lang w:val="en-US"/>
        </w:rPr>
        <w:t xml:space="preserve"> </w:t>
      </w:r>
      <w:proofErr w:type="spellStart"/>
      <w:r w:rsidRPr="00314E4C">
        <w:rPr>
          <w:rFonts w:ascii="Times New Roman" w:hAnsi="Times New Roman"/>
          <w:b w:val="0"/>
          <w:sz w:val="20"/>
          <w:szCs w:val="20"/>
          <w:lang w:val="en-US"/>
        </w:rPr>
        <w:t>Acta</w:t>
      </w:r>
      <w:proofErr w:type="spellEnd"/>
      <w:r w:rsidRPr="00314E4C">
        <w:rPr>
          <w:rFonts w:ascii="Times New Roman" w:hAnsi="Times New Roman"/>
          <w:b w:val="0"/>
          <w:sz w:val="20"/>
          <w:szCs w:val="20"/>
          <w:lang w:val="en-US"/>
        </w:rPr>
        <w:t xml:space="preserve"> 101:209– 215</w:t>
      </w:r>
    </w:p>
    <w:p w14:paraId="1C5F50B0" w14:textId="71AFB53E" w:rsidR="009D391E" w:rsidRPr="00314E4C" w:rsidRDefault="009D391E" w:rsidP="009D391E">
      <w:pPr>
        <w:pStyle w:val="RSCB06BHeadingSub-Section"/>
        <w:numPr>
          <w:ilvl w:val="0"/>
          <w:numId w:val="6"/>
        </w:numPr>
        <w:jc w:val="both"/>
        <w:rPr>
          <w:rFonts w:ascii="Times New Roman" w:hAnsi="Times New Roman"/>
          <w:b w:val="0"/>
          <w:sz w:val="20"/>
          <w:szCs w:val="20"/>
          <w:lang w:val="en-US"/>
        </w:rPr>
      </w:pPr>
      <w:proofErr w:type="spellStart"/>
      <w:r w:rsidRPr="00314E4C">
        <w:rPr>
          <w:rFonts w:ascii="Times New Roman" w:hAnsi="Times New Roman"/>
          <w:b w:val="0"/>
          <w:sz w:val="20"/>
          <w:szCs w:val="20"/>
          <w:lang w:val="en-US"/>
        </w:rPr>
        <w:t>Balasubramanian</w:t>
      </w:r>
      <w:proofErr w:type="spellEnd"/>
      <w:r w:rsidRPr="00314E4C">
        <w:rPr>
          <w:rFonts w:ascii="Times New Roman" w:hAnsi="Times New Roman"/>
          <w:b w:val="0"/>
          <w:sz w:val="20"/>
          <w:szCs w:val="20"/>
          <w:lang w:val="en-US"/>
        </w:rPr>
        <w:t xml:space="preserve"> K, </w:t>
      </w:r>
      <w:proofErr w:type="spellStart"/>
      <w:r w:rsidRPr="00314E4C">
        <w:rPr>
          <w:rFonts w:ascii="Times New Roman" w:hAnsi="Times New Roman"/>
          <w:b w:val="0"/>
          <w:sz w:val="20"/>
          <w:szCs w:val="20"/>
          <w:lang w:val="en-US"/>
        </w:rPr>
        <w:t>Burghard</w:t>
      </w:r>
      <w:proofErr w:type="spellEnd"/>
      <w:r w:rsidRPr="00314E4C">
        <w:rPr>
          <w:rFonts w:ascii="Times New Roman" w:hAnsi="Times New Roman"/>
          <w:b w:val="0"/>
          <w:sz w:val="20"/>
          <w:szCs w:val="20"/>
          <w:lang w:val="en-US"/>
        </w:rPr>
        <w:t xml:space="preserve"> M (2005) Chemically functionalized carbon nanotubes. Small 1:180-192</w:t>
      </w:r>
    </w:p>
    <w:p w14:paraId="1B9604B5" w14:textId="4C8DCEC9" w:rsidR="009D391E" w:rsidRPr="00314E4C" w:rsidRDefault="009D391E" w:rsidP="009D391E">
      <w:pPr>
        <w:pStyle w:val="RSCB06BHeadingSub-Section"/>
        <w:numPr>
          <w:ilvl w:val="0"/>
          <w:numId w:val="6"/>
        </w:numPr>
        <w:jc w:val="both"/>
        <w:rPr>
          <w:rFonts w:ascii="Times New Roman" w:hAnsi="Times New Roman"/>
          <w:b w:val="0"/>
          <w:sz w:val="20"/>
          <w:szCs w:val="20"/>
          <w:lang w:val="en-US"/>
        </w:rPr>
      </w:pPr>
      <w:proofErr w:type="spellStart"/>
      <w:r w:rsidRPr="00314E4C">
        <w:rPr>
          <w:rFonts w:ascii="Times New Roman" w:hAnsi="Times New Roman"/>
          <w:b w:val="0"/>
          <w:sz w:val="20"/>
          <w:szCs w:val="20"/>
          <w:lang w:val="en-US"/>
        </w:rPr>
        <w:t>Alhassan</w:t>
      </w:r>
      <w:proofErr w:type="spellEnd"/>
      <w:r w:rsidRPr="00314E4C">
        <w:rPr>
          <w:rFonts w:ascii="Times New Roman" w:hAnsi="Times New Roman"/>
          <w:b w:val="0"/>
          <w:sz w:val="20"/>
          <w:szCs w:val="20"/>
          <w:lang w:val="en-US"/>
        </w:rPr>
        <w:t xml:space="preserve"> SM, </w:t>
      </w:r>
      <w:proofErr w:type="spellStart"/>
      <w:r w:rsidRPr="00314E4C">
        <w:rPr>
          <w:rFonts w:ascii="Times New Roman" w:hAnsi="Times New Roman"/>
          <w:b w:val="0"/>
          <w:sz w:val="20"/>
          <w:szCs w:val="20"/>
          <w:lang w:val="en-US"/>
        </w:rPr>
        <w:t>Qutubuddin</w:t>
      </w:r>
      <w:proofErr w:type="spellEnd"/>
      <w:r w:rsidRPr="00314E4C">
        <w:rPr>
          <w:rFonts w:ascii="Times New Roman" w:hAnsi="Times New Roman"/>
          <w:b w:val="0"/>
          <w:sz w:val="20"/>
          <w:szCs w:val="20"/>
          <w:lang w:val="en-US"/>
        </w:rPr>
        <w:t xml:space="preserve"> S, </w:t>
      </w:r>
      <w:proofErr w:type="spellStart"/>
      <w:r w:rsidRPr="00314E4C">
        <w:rPr>
          <w:rFonts w:ascii="Times New Roman" w:hAnsi="Times New Roman"/>
          <w:b w:val="0"/>
          <w:sz w:val="20"/>
          <w:szCs w:val="20"/>
          <w:lang w:val="en-US"/>
        </w:rPr>
        <w:t>Schiraldi</w:t>
      </w:r>
      <w:proofErr w:type="spellEnd"/>
      <w:r w:rsidRPr="00314E4C">
        <w:rPr>
          <w:rFonts w:ascii="Times New Roman" w:hAnsi="Times New Roman"/>
          <w:b w:val="0"/>
          <w:sz w:val="20"/>
          <w:szCs w:val="20"/>
          <w:lang w:val="en-US"/>
        </w:rPr>
        <w:t xml:space="preserve"> DA (2012) Graphene arrested in laponite-water colloidal glass.</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Langmuir 28:4009-4015</w:t>
      </w:r>
    </w:p>
    <w:p w14:paraId="4A21C712" w14:textId="7AB124E9" w:rsidR="009D391E" w:rsidRPr="00314E4C" w:rsidRDefault="009D391E" w:rsidP="009D391E">
      <w:pPr>
        <w:pStyle w:val="RSCB06BHeadingSub-Section"/>
        <w:numPr>
          <w:ilvl w:val="0"/>
          <w:numId w:val="6"/>
        </w:numPr>
        <w:jc w:val="both"/>
        <w:rPr>
          <w:rFonts w:ascii="Times New Roman" w:hAnsi="Times New Roman"/>
          <w:b w:val="0"/>
          <w:sz w:val="20"/>
          <w:szCs w:val="20"/>
          <w:lang w:val="en-US"/>
        </w:rPr>
      </w:pPr>
      <w:proofErr w:type="spellStart"/>
      <w:r w:rsidRPr="00314E4C">
        <w:rPr>
          <w:rFonts w:ascii="Times New Roman" w:hAnsi="Times New Roman"/>
          <w:b w:val="0"/>
          <w:sz w:val="20"/>
          <w:szCs w:val="20"/>
          <w:lang w:val="en-US"/>
        </w:rPr>
        <w:t>Manilo</w:t>
      </w:r>
      <w:proofErr w:type="spellEnd"/>
      <w:r w:rsidRPr="00314E4C">
        <w:rPr>
          <w:rFonts w:ascii="Times New Roman" w:hAnsi="Times New Roman"/>
          <w:b w:val="0"/>
          <w:sz w:val="20"/>
          <w:szCs w:val="20"/>
          <w:lang w:val="en-US"/>
        </w:rPr>
        <w:t xml:space="preserve"> MV, </w:t>
      </w:r>
      <w:proofErr w:type="spellStart"/>
      <w:r w:rsidRPr="00314E4C">
        <w:rPr>
          <w:rFonts w:ascii="Times New Roman" w:hAnsi="Times New Roman"/>
          <w:b w:val="0"/>
          <w:sz w:val="20"/>
          <w:szCs w:val="20"/>
          <w:lang w:val="en-US"/>
        </w:rPr>
        <w:t>Lebovka</w:t>
      </w:r>
      <w:proofErr w:type="spellEnd"/>
      <w:r w:rsidRPr="00314E4C">
        <w:rPr>
          <w:rFonts w:ascii="Times New Roman" w:hAnsi="Times New Roman"/>
          <w:b w:val="0"/>
          <w:sz w:val="20"/>
          <w:szCs w:val="20"/>
          <w:lang w:val="en-US"/>
        </w:rPr>
        <w:t xml:space="preserve"> NI, Barany S (2015) Stability of multi-walled carbon </w:t>
      </w:r>
      <w:proofErr w:type="spellStart"/>
      <w:r w:rsidRPr="00314E4C">
        <w:rPr>
          <w:rFonts w:ascii="Times New Roman" w:hAnsi="Times New Roman"/>
          <w:b w:val="0"/>
          <w:sz w:val="20"/>
          <w:szCs w:val="20"/>
          <w:lang w:val="en-US"/>
        </w:rPr>
        <w:t>nanotube+laponite</w:t>
      </w:r>
      <w:proofErr w:type="spellEnd"/>
      <w:r w:rsidRPr="00314E4C">
        <w:rPr>
          <w:rFonts w:ascii="Times New Roman" w:hAnsi="Times New Roman"/>
          <w:b w:val="0"/>
          <w:sz w:val="20"/>
          <w:szCs w:val="20"/>
          <w:lang w:val="en-US"/>
        </w:rPr>
        <w:t xml:space="preserve"> hybrid</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 xml:space="preserve">particles in aqueous suspensions. Colloids and Surfaces A: </w:t>
      </w:r>
      <w:proofErr w:type="spellStart"/>
      <w:r w:rsidRPr="00314E4C">
        <w:rPr>
          <w:rFonts w:ascii="Times New Roman" w:hAnsi="Times New Roman"/>
          <w:b w:val="0"/>
          <w:sz w:val="20"/>
          <w:szCs w:val="20"/>
          <w:lang w:val="en-US"/>
        </w:rPr>
        <w:t>Physicochem</w:t>
      </w:r>
      <w:proofErr w:type="spellEnd"/>
      <w:r w:rsidRPr="00314E4C">
        <w:rPr>
          <w:rFonts w:ascii="Times New Roman" w:hAnsi="Times New Roman"/>
          <w:b w:val="0"/>
          <w:sz w:val="20"/>
          <w:szCs w:val="20"/>
          <w:lang w:val="en-US"/>
        </w:rPr>
        <w:t>. Eng. Aspects 481:199-206</w:t>
      </w:r>
    </w:p>
    <w:p w14:paraId="5E1E7D35" w14:textId="37C2A7F5" w:rsidR="009D391E" w:rsidRPr="00314E4C" w:rsidRDefault="009D391E" w:rsidP="009D391E">
      <w:pPr>
        <w:pStyle w:val="RSCB06BHeadingSub-Section"/>
        <w:numPr>
          <w:ilvl w:val="0"/>
          <w:numId w:val="6"/>
        </w:numPr>
        <w:jc w:val="both"/>
        <w:rPr>
          <w:rFonts w:ascii="Times New Roman" w:hAnsi="Times New Roman"/>
          <w:b w:val="0"/>
          <w:sz w:val="20"/>
          <w:szCs w:val="20"/>
          <w:lang w:val="en-US"/>
        </w:rPr>
      </w:pPr>
      <w:proofErr w:type="spellStart"/>
      <w:r w:rsidRPr="00314E4C">
        <w:rPr>
          <w:rFonts w:ascii="Times New Roman" w:hAnsi="Times New Roman"/>
          <w:b w:val="0"/>
          <w:sz w:val="20"/>
          <w:szCs w:val="20"/>
          <w:lang w:val="en-US"/>
        </w:rPr>
        <w:t>Loginov</w:t>
      </w:r>
      <w:proofErr w:type="spellEnd"/>
      <w:r w:rsidRPr="00314E4C">
        <w:rPr>
          <w:rFonts w:ascii="Times New Roman" w:hAnsi="Times New Roman"/>
          <w:b w:val="0"/>
          <w:sz w:val="20"/>
          <w:szCs w:val="20"/>
          <w:lang w:val="en-US"/>
        </w:rPr>
        <w:t xml:space="preserve"> M, </w:t>
      </w:r>
      <w:proofErr w:type="spellStart"/>
      <w:r w:rsidRPr="00314E4C">
        <w:rPr>
          <w:rFonts w:ascii="Times New Roman" w:hAnsi="Times New Roman"/>
          <w:b w:val="0"/>
          <w:sz w:val="20"/>
          <w:szCs w:val="20"/>
          <w:lang w:val="en-US"/>
        </w:rPr>
        <w:t>Lebovka</w:t>
      </w:r>
      <w:proofErr w:type="spellEnd"/>
      <w:r w:rsidRPr="00314E4C">
        <w:rPr>
          <w:rFonts w:ascii="Times New Roman" w:hAnsi="Times New Roman"/>
          <w:b w:val="0"/>
          <w:sz w:val="20"/>
          <w:szCs w:val="20"/>
          <w:lang w:val="en-US"/>
        </w:rPr>
        <w:t xml:space="preserve"> N, </w:t>
      </w:r>
      <w:proofErr w:type="spellStart"/>
      <w:r w:rsidRPr="00314E4C">
        <w:rPr>
          <w:rFonts w:ascii="Times New Roman" w:hAnsi="Times New Roman"/>
          <w:b w:val="0"/>
          <w:sz w:val="20"/>
          <w:szCs w:val="20"/>
          <w:lang w:val="en-US"/>
        </w:rPr>
        <w:t>Vorobiev</w:t>
      </w:r>
      <w:proofErr w:type="spellEnd"/>
      <w:r w:rsidRPr="00314E4C">
        <w:rPr>
          <w:rFonts w:ascii="Times New Roman" w:hAnsi="Times New Roman"/>
          <w:b w:val="0"/>
          <w:sz w:val="20"/>
          <w:szCs w:val="20"/>
          <w:lang w:val="en-US"/>
        </w:rPr>
        <w:t xml:space="preserve"> E (2014) Hybrid multiwalled carbon nanotube-laponite sorbent for</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 xml:space="preserve">removal of methylene blue from aqueous solutions, J. Colloid Interface </w:t>
      </w:r>
      <w:proofErr w:type="spellStart"/>
      <w:r w:rsidRPr="00314E4C">
        <w:rPr>
          <w:rFonts w:ascii="Times New Roman" w:hAnsi="Times New Roman"/>
          <w:b w:val="0"/>
          <w:sz w:val="20"/>
          <w:szCs w:val="20"/>
          <w:lang w:val="en-US"/>
        </w:rPr>
        <w:t>Sci</w:t>
      </w:r>
      <w:proofErr w:type="spellEnd"/>
      <w:r w:rsidRPr="00314E4C">
        <w:rPr>
          <w:rFonts w:ascii="Times New Roman" w:hAnsi="Times New Roman"/>
          <w:b w:val="0"/>
          <w:sz w:val="20"/>
          <w:szCs w:val="20"/>
          <w:lang w:val="en-US"/>
        </w:rPr>
        <w:t xml:space="preserve"> 431:241–249</w:t>
      </w:r>
    </w:p>
    <w:p w14:paraId="35AE0F39" w14:textId="580136CF" w:rsidR="009D391E" w:rsidRDefault="009D391E" w:rsidP="009D391E">
      <w:pPr>
        <w:pStyle w:val="RSCB06BHeadingSub-Section"/>
        <w:numPr>
          <w:ilvl w:val="0"/>
          <w:numId w:val="6"/>
        </w:numPr>
        <w:jc w:val="both"/>
        <w:rPr>
          <w:rFonts w:ascii="Times New Roman" w:hAnsi="Times New Roman"/>
          <w:b w:val="0"/>
          <w:sz w:val="20"/>
          <w:szCs w:val="20"/>
          <w:lang w:val="en-US"/>
        </w:rPr>
      </w:pPr>
      <w:proofErr w:type="spellStart"/>
      <w:r w:rsidRPr="00314E4C">
        <w:rPr>
          <w:rFonts w:ascii="Times New Roman" w:hAnsi="Times New Roman"/>
          <w:b w:val="0"/>
          <w:sz w:val="20"/>
          <w:szCs w:val="20"/>
          <w:lang w:val="en-US"/>
        </w:rPr>
        <w:t>Cosnier</w:t>
      </w:r>
      <w:proofErr w:type="spellEnd"/>
      <w:r w:rsidRPr="00314E4C">
        <w:rPr>
          <w:rFonts w:ascii="Times New Roman" w:hAnsi="Times New Roman"/>
          <w:b w:val="0"/>
          <w:sz w:val="20"/>
          <w:szCs w:val="20"/>
          <w:lang w:val="en-US"/>
        </w:rPr>
        <w:t xml:space="preserve"> S, Lambert F, Stoytcheva M (2000) A composite clay glucose biosensor based on an electrically</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connected HRP. Electroanalysis 12:356-360</w:t>
      </w:r>
    </w:p>
    <w:p w14:paraId="24E6761F" w14:textId="7A0904F0" w:rsidR="00BE76A8" w:rsidRPr="00747134" w:rsidRDefault="00747134" w:rsidP="00747134">
      <w:pPr>
        <w:pStyle w:val="ListParagraph"/>
        <w:numPr>
          <w:ilvl w:val="0"/>
          <w:numId w:val="6"/>
        </w:numPr>
        <w:rPr>
          <w:rFonts w:ascii="Times New Roman" w:eastAsia="Calibri" w:hAnsi="Times New Roman" w:cs="Times New Roman"/>
          <w:sz w:val="20"/>
          <w:szCs w:val="20"/>
        </w:rPr>
      </w:pPr>
      <w:r w:rsidRPr="00747134">
        <w:rPr>
          <w:rFonts w:ascii="Times New Roman" w:eastAsia="Calibri" w:hAnsi="Times New Roman" w:cs="Times New Roman"/>
          <w:sz w:val="20"/>
          <w:szCs w:val="20"/>
        </w:rPr>
        <w:t xml:space="preserve">Du D, Ye X, Zhang J, Liu D (2008) Cathodic electrochemical analysis of methyl parathion at bismuth film modified glassy carbon electrode. </w:t>
      </w:r>
      <w:proofErr w:type="spellStart"/>
      <w:r w:rsidRPr="00747134">
        <w:rPr>
          <w:rFonts w:ascii="Times New Roman" w:eastAsia="Calibri" w:hAnsi="Times New Roman" w:cs="Times New Roman"/>
          <w:sz w:val="20"/>
          <w:szCs w:val="20"/>
        </w:rPr>
        <w:t>Electrochim</w:t>
      </w:r>
      <w:proofErr w:type="spellEnd"/>
      <w:r w:rsidRPr="00747134">
        <w:rPr>
          <w:rFonts w:ascii="Times New Roman" w:eastAsia="Calibri" w:hAnsi="Times New Roman" w:cs="Times New Roman"/>
          <w:sz w:val="20"/>
          <w:szCs w:val="20"/>
        </w:rPr>
        <w:t xml:space="preserve"> </w:t>
      </w:r>
      <w:proofErr w:type="spellStart"/>
      <w:r w:rsidRPr="00747134">
        <w:rPr>
          <w:rFonts w:ascii="Times New Roman" w:eastAsia="Calibri" w:hAnsi="Times New Roman" w:cs="Times New Roman"/>
          <w:sz w:val="20"/>
          <w:szCs w:val="20"/>
        </w:rPr>
        <w:t>Acta</w:t>
      </w:r>
      <w:proofErr w:type="spellEnd"/>
      <w:r w:rsidRPr="00747134">
        <w:rPr>
          <w:rFonts w:ascii="Times New Roman" w:eastAsia="Calibri" w:hAnsi="Times New Roman" w:cs="Times New Roman"/>
          <w:sz w:val="20"/>
          <w:szCs w:val="20"/>
        </w:rPr>
        <w:t xml:space="preserve"> 53: 4478-4484</w:t>
      </w:r>
    </w:p>
    <w:p w14:paraId="366F99AE" w14:textId="5348A45C" w:rsidR="009D391E" w:rsidRPr="00314E4C" w:rsidRDefault="009D391E" w:rsidP="009D391E">
      <w:pPr>
        <w:pStyle w:val="RSCB06BHeadingSub-Section"/>
        <w:numPr>
          <w:ilvl w:val="0"/>
          <w:numId w:val="6"/>
        </w:numPr>
        <w:jc w:val="both"/>
        <w:rPr>
          <w:rFonts w:ascii="Times New Roman" w:hAnsi="Times New Roman"/>
          <w:b w:val="0"/>
          <w:sz w:val="20"/>
          <w:szCs w:val="20"/>
          <w:lang w:val="en-US"/>
        </w:rPr>
      </w:pPr>
      <w:r w:rsidRPr="00314E4C">
        <w:rPr>
          <w:rFonts w:ascii="Times New Roman" w:hAnsi="Times New Roman"/>
          <w:b w:val="0"/>
          <w:sz w:val="20"/>
          <w:szCs w:val="20"/>
          <w:lang w:val="en-US"/>
        </w:rPr>
        <w:t xml:space="preserve">Hutton E.A, </w:t>
      </w:r>
      <w:proofErr w:type="spellStart"/>
      <w:r w:rsidRPr="00314E4C">
        <w:rPr>
          <w:rFonts w:ascii="Times New Roman" w:hAnsi="Times New Roman"/>
          <w:b w:val="0"/>
          <w:sz w:val="20"/>
          <w:szCs w:val="20"/>
          <w:lang w:val="en-US"/>
        </w:rPr>
        <w:t>Ogorevc</w:t>
      </w:r>
      <w:proofErr w:type="spellEnd"/>
      <w:r w:rsidRPr="00314E4C">
        <w:rPr>
          <w:rFonts w:ascii="Times New Roman" w:hAnsi="Times New Roman"/>
          <w:b w:val="0"/>
          <w:sz w:val="20"/>
          <w:szCs w:val="20"/>
          <w:lang w:val="en-US"/>
        </w:rPr>
        <w:t xml:space="preserve"> B, Smyth MR (2004) Cathodic electrochemical detection of </w:t>
      </w:r>
      <w:proofErr w:type="spellStart"/>
      <w:r w:rsidRPr="00314E4C">
        <w:rPr>
          <w:rFonts w:ascii="Times New Roman" w:hAnsi="Times New Roman"/>
          <w:b w:val="0"/>
          <w:sz w:val="20"/>
          <w:szCs w:val="20"/>
          <w:lang w:val="en-US"/>
        </w:rPr>
        <w:t>nitrophenols</w:t>
      </w:r>
      <w:proofErr w:type="spellEnd"/>
      <w:r w:rsidRPr="00314E4C">
        <w:rPr>
          <w:rFonts w:ascii="Times New Roman" w:hAnsi="Times New Roman"/>
          <w:b w:val="0"/>
          <w:sz w:val="20"/>
          <w:szCs w:val="20"/>
          <w:lang w:val="en-US"/>
        </w:rPr>
        <w:t xml:space="preserve"> at a bismuth</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film electrode for use in flow analysis. Electroanalysis 16:1616-1621</w:t>
      </w:r>
    </w:p>
    <w:p w14:paraId="06AF7334" w14:textId="340A82B7" w:rsidR="009D391E" w:rsidRPr="00747134" w:rsidRDefault="009D391E" w:rsidP="00747134">
      <w:pPr>
        <w:pStyle w:val="RSCB06BHeadingSub-Section"/>
        <w:numPr>
          <w:ilvl w:val="0"/>
          <w:numId w:val="6"/>
        </w:numPr>
        <w:jc w:val="both"/>
        <w:rPr>
          <w:rFonts w:ascii="Times New Roman" w:hAnsi="Times New Roman"/>
          <w:b w:val="0"/>
          <w:sz w:val="20"/>
          <w:szCs w:val="20"/>
          <w:lang w:val="en-US"/>
        </w:rPr>
      </w:pPr>
      <w:r w:rsidRPr="00314E4C">
        <w:rPr>
          <w:rFonts w:ascii="Times New Roman" w:hAnsi="Times New Roman"/>
          <w:b w:val="0"/>
          <w:sz w:val="20"/>
          <w:szCs w:val="20"/>
          <w:lang w:val="en-US"/>
        </w:rPr>
        <w:t xml:space="preserve">Liu ZN, Du JG, </w:t>
      </w:r>
      <w:proofErr w:type="spellStart"/>
      <w:r w:rsidRPr="00314E4C">
        <w:rPr>
          <w:rFonts w:ascii="Times New Roman" w:hAnsi="Times New Roman"/>
          <w:b w:val="0"/>
          <w:sz w:val="20"/>
          <w:szCs w:val="20"/>
          <w:lang w:val="en-US"/>
        </w:rPr>
        <w:t>Qiu</w:t>
      </w:r>
      <w:proofErr w:type="spellEnd"/>
      <w:r w:rsidRPr="00314E4C">
        <w:rPr>
          <w:rFonts w:ascii="Times New Roman" w:hAnsi="Times New Roman"/>
          <w:b w:val="0"/>
          <w:sz w:val="20"/>
          <w:szCs w:val="20"/>
          <w:lang w:val="en-US"/>
        </w:rPr>
        <w:t xml:space="preserve"> CC, Huang LH, Ma HY, Shen DZ, Ding Y (2009) Electrochemical sensor for detection</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 xml:space="preserve">of p-nitrophenol based on </w:t>
      </w:r>
      <w:proofErr w:type="spellStart"/>
      <w:r w:rsidRPr="00314E4C">
        <w:rPr>
          <w:rFonts w:ascii="Times New Roman" w:hAnsi="Times New Roman"/>
          <w:b w:val="0"/>
          <w:sz w:val="20"/>
          <w:szCs w:val="20"/>
          <w:lang w:val="en-US"/>
        </w:rPr>
        <w:t>nanoporous</w:t>
      </w:r>
      <w:proofErr w:type="spellEnd"/>
      <w:r w:rsidRPr="00314E4C">
        <w:rPr>
          <w:rFonts w:ascii="Times New Roman" w:hAnsi="Times New Roman"/>
          <w:b w:val="0"/>
          <w:sz w:val="20"/>
          <w:szCs w:val="20"/>
          <w:lang w:val="en-US"/>
        </w:rPr>
        <w:t xml:space="preserve"> gold. </w:t>
      </w:r>
      <w:proofErr w:type="spellStart"/>
      <w:r w:rsidRPr="00314E4C">
        <w:rPr>
          <w:rFonts w:ascii="Times New Roman" w:hAnsi="Times New Roman"/>
          <w:b w:val="0"/>
          <w:sz w:val="20"/>
          <w:szCs w:val="20"/>
          <w:lang w:val="en-US"/>
        </w:rPr>
        <w:t>Electrochem</w:t>
      </w:r>
      <w:proofErr w:type="spellEnd"/>
      <w:r w:rsidRPr="00314E4C">
        <w:rPr>
          <w:rFonts w:ascii="Times New Roman" w:hAnsi="Times New Roman"/>
          <w:b w:val="0"/>
          <w:sz w:val="20"/>
          <w:szCs w:val="20"/>
          <w:lang w:val="en-US"/>
        </w:rPr>
        <w:t xml:space="preserve"> </w:t>
      </w:r>
      <w:proofErr w:type="spellStart"/>
      <w:r w:rsidRPr="00314E4C">
        <w:rPr>
          <w:rFonts w:ascii="Times New Roman" w:hAnsi="Times New Roman"/>
          <w:b w:val="0"/>
          <w:sz w:val="20"/>
          <w:szCs w:val="20"/>
          <w:lang w:val="en-US"/>
        </w:rPr>
        <w:t>Commun</w:t>
      </w:r>
      <w:proofErr w:type="spellEnd"/>
      <w:r w:rsidRPr="00314E4C">
        <w:rPr>
          <w:rFonts w:ascii="Times New Roman" w:hAnsi="Times New Roman"/>
          <w:b w:val="0"/>
          <w:sz w:val="20"/>
          <w:szCs w:val="20"/>
          <w:lang w:val="en-US"/>
        </w:rPr>
        <w:t xml:space="preserve"> 11:1365-1368</w:t>
      </w:r>
    </w:p>
    <w:p w14:paraId="7443CDC4" w14:textId="296D063E" w:rsidR="009D391E" w:rsidRPr="00747134" w:rsidRDefault="009D391E" w:rsidP="00747134">
      <w:pPr>
        <w:pStyle w:val="RSCB06BHeadingSub-Section"/>
        <w:numPr>
          <w:ilvl w:val="0"/>
          <w:numId w:val="6"/>
        </w:numPr>
        <w:jc w:val="both"/>
        <w:rPr>
          <w:rFonts w:ascii="Times New Roman" w:hAnsi="Times New Roman"/>
          <w:b w:val="0"/>
          <w:sz w:val="20"/>
          <w:szCs w:val="20"/>
          <w:lang w:val="en-US"/>
        </w:rPr>
      </w:pPr>
      <w:proofErr w:type="spellStart"/>
      <w:r w:rsidRPr="00314E4C">
        <w:rPr>
          <w:rFonts w:ascii="Times New Roman" w:hAnsi="Times New Roman"/>
          <w:b w:val="0"/>
          <w:sz w:val="20"/>
          <w:szCs w:val="20"/>
          <w:lang w:val="en-US"/>
        </w:rPr>
        <w:lastRenderedPageBreak/>
        <w:t>Niesner</w:t>
      </w:r>
      <w:proofErr w:type="spellEnd"/>
      <w:r w:rsidRPr="00314E4C">
        <w:rPr>
          <w:rFonts w:ascii="Times New Roman" w:hAnsi="Times New Roman"/>
          <w:b w:val="0"/>
          <w:sz w:val="20"/>
          <w:szCs w:val="20"/>
          <w:lang w:val="en-US"/>
        </w:rPr>
        <w:t xml:space="preserve"> R, </w:t>
      </w:r>
      <w:proofErr w:type="spellStart"/>
      <w:r w:rsidRPr="00314E4C">
        <w:rPr>
          <w:rFonts w:ascii="Times New Roman" w:hAnsi="Times New Roman"/>
          <w:b w:val="0"/>
          <w:sz w:val="20"/>
          <w:szCs w:val="20"/>
          <w:lang w:val="en-US"/>
        </w:rPr>
        <w:t>Heintz</w:t>
      </w:r>
      <w:proofErr w:type="spellEnd"/>
      <w:r w:rsidRPr="00314E4C">
        <w:rPr>
          <w:rFonts w:ascii="Times New Roman" w:hAnsi="Times New Roman"/>
          <w:b w:val="0"/>
          <w:sz w:val="20"/>
          <w:szCs w:val="20"/>
          <w:lang w:val="en-US"/>
        </w:rPr>
        <w:t xml:space="preserve"> A (2000) Diffusion coefficients of aromatics in aqueous solution. J </w:t>
      </w:r>
      <w:proofErr w:type="spellStart"/>
      <w:r w:rsidRPr="00314E4C">
        <w:rPr>
          <w:rFonts w:ascii="Times New Roman" w:hAnsi="Times New Roman"/>
          <w:b w:val="0"/>
          <w:sz w:val="20"/>
          <w:szCs w:val="20"/>
          <w:lang w:val="en-US"/>
        </w:rPr>
        <w:t>Chem</w:t>
      </w:r>
      <w:proofErr w:type="spellEnd"/>
      <w:r w:rsidRPr="00314E4C">
        <w:rPr>
          <w:rFonts w:ascii="Times New Roman" w:hAnsi="Times New Roman"/>
          <w:b w:val="0"/>
          <w:sz w:val="20"/>
          <w:szCs w:val="20"/>
          <w:lang w:val="en-US"/>
        </w:rPr>
        <w:t xml:space="preserve"> </w:t>
      </w:r>
      <w:proofErr w:type="spellStart"/>
      <w:r w:rsidRPr="00314E4C">
        <w:rPr>
          <w:rFonts w:ascii="Times New Roman" w:hAnsi="Times New Roman"/>
          <w:b w:val="0"/>
          <w:sz w:val="20"/>
          <w:szCs w:val="20"/>
          <w:lang w:val="en-US"/>
        </w:rPr>
        <w:t>Eng</w:t>
      </w:r>
      <w:proofErr w:type="spellEnd"/>
      <w:r w:rsidRPr="00314E4C">
        <w:rPr>
          <w:rFonts w:ascii="Times New Roman" w:hAnsi="Times New Roman"/>
          <w:b w:val="0"/>
          <w:sz w:val="20"/>
          <w:szCs w:val="20"/>
          <w:lang w:val="en-US"/>
        </w:rPr>
        <w:t xml:space="preserve"> Data</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45:1121-1124</w:t>
      </w:r>
    </w:p>
    <w:p w14:paraId="0E0A814A" w14:textId="26C70100" w:rsidR="009D391E" w:rsidRPr="00314E4C" w:rsidRDefault="009D391E" w:rsidP="009D391E">
      <w:pPr>
        <w:pStyle w:val="RSCB06BHeadingSub-Section"/>
        <w:numPr>
          <w:ilvl w:val="0"/>
          <w:numId w:val="6"/>
        </w:numPr>
        <w:jc w:val="both"/>
        <w:rPr>
          <w:rFonts w:ascii="Times New Roman" w:hAnsi="Times New Roman"/>
          <w:b w:val="0"/>
          <w:sz w:val="20"/>
          <w:szCs w:val="20"/>
          <w:lang w:val="en-US"/>
        </w:rPr>
      </w:pPr>
      <w:proofErr w:type="spellStart"/>
      <w:r w:rsidRPr="00314E4C">
        <w:rPr>
          <w:rFonts w:ascii="Times New Roman" w:hAnsi="Times New Roman"/>
          <w:b w:val="0"/>
          <w:sz w:val="20"/>
          <w:szCs w:val="20"/>
          <w:lang w:val="en-US"/>
        </w:rPr>
        <w:t>Zuman</w:t>
      </w:r>
      <w:proofErr w:type="spellEnd"/>
      <w:r w:rsidRPr="00314E4C">
        <w:rPr>
          <w:rFonts w:ascii="Times New Roman" w:hAnsi="Times New Roman"/>
          <w:b w:val="0"/>
          <w:sz w:val="20"/>
          <w:szCs w:val="20"/>
          <w:lang w:val="en-US"/>
        </w:rPr>
        <w:t xml:space="preserve"> P, </w:t>
      </w:r>
      <w:proofErr w:type="spellStart"/>
      <w:r w:rsidRPr="00314E4C">
        <w:rPr>
          <w:rFonts w:ascii="Times New Roman" w:hAnsi="Times New Roman"/>
          <w:b w:val="0"/>
          <w:sz w:val="20"/>
          <w:szCs w:val="20"/>
          <w:lang w:val="en-US"/>
        </w:rPr>
        <w:t>Fijalek</w:t>
      </w:r>
      <w:proofErr w:type="spellEnd"/>
      <w:r w:rsidRPr="00314E4C">
        <w:rPr>
          <w:rFonts w:ascii="Times New Roman" w:hAnsi="Times New Roman"/>
          <w:b w:val="0"/>
          <w:sz w:val="20"/>
          <w:szCs w:val="20"/>
          <w:lang w:val="en-US"/>
        </w:rPr>
        <w:t xml:space="preserve"> Z, </w:t>
      </w:r>
      <w:proofErr w:type="spellStart"/>
      <w:r w:rsidRPr="00314E4C">
        <w:rPr>
          <w:rFonts w:ascii="Times New Roman" w:hAnsi="Times New Roman"/>
          <w:b w:val="0"/>
          <w:sz w:val="20"/>
          <w:szCs w:val="20"/>
          <w:lang w:val="en-US"/>
        </w:rPr>
        <w:t>Dumanovic</w:t>
      </w:r>
      <w:proofErr w:type="spellEnd"/>
      <w:r w:rsidRPr="00314E4C">
        <w:rPr>
          <w:rFonts w:ascii="Times New Roman" w:hAnsi="Times New Roman"/>
          <w:b w:val="0"/>
          <w:sz w:val="20"/>
          <w:szCs w:val="20"/>
          <w:lang w:val="en-US"/>
        </w:rPr>
        <w:t xml:space="preserve"> D, </w:t>
      </w:r>
      <w:proofErr w:type="spellStart"/>
      <w:r w:rsidRPr="00314E4C">
        <w:rPr>
          <w:rFonts w:ascii="Times New Roman" w:hAnsi="Times New Roman"/>
          <w:b w:val="0"/>
          <w:sz w:val="20"/>
          <w:szCs w:val="20"/>
          <w:lang w:val="en-US"/>
        </w:rPr>
        <w:t>Suznjevic</w:t>
      </w:r>
      <w:proofErr w:type="spellEnd"/>
      <w:r w:rsidRPr="00314E4C">
        <w:rPr>
          <w:rFonts w:ascii="Times New Roman" w:hAnsi="Times New Roman"/>
          <w:b w:val="0"/>
          <w:sz w:val="20"/>
          <w:szCs w:val="20"/>
          <w:lang w:val="en-US"/>
        </w:rPr>
        <w:t xml:space="preserve"> D (1992) </w:t>
      </w:r>
      <w:proofErr w:type="spellStart"/>
      <w:r w:rsidRPr="00314E4C">
        <w:rPr>
          <w:rFonts w:ascii="Times New Roman" w:hAnsi="Times New Roman"/>
          <w:b w:val="0"/>
          <w:sz w:val="20"/>
          <w:szCs w:val="20"/>
          <w:lang w:val="en-US"/>
        </w:rPr>
        <w:t>Polarographic</w:t>
      </w:r>
      <w:proofErr w:type="spellEnd"/>
      <w:r w:rsidRPr="00314E4C">
        <w:rPr>
          <w:rFonts w:ascii="Times New Roman" w:hAnsi="Times New Roman"/>
          <w:b w:val="0"/>
          <w:sz w:val="20"/>
          <w:szCs w:val="20"/>
          <w:lang w:val="en-US"/>
        </w:rPr>
        <w:t xml:space="preserve"> and electrochemical studies of some</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aromatic and heterocyclic nitro compounds, part I: general mechanistic aspects. Electroanalysis 4:783-794</w:t>
      </w:r>
    </w:p>
    <w:p w14:paraId="2F0D8437" w14:textId="2E7968A8" w:rsidR="009D391E" w:rsidRPr="00314E4C" w:rsidRDefault="009D391E" w:rsidP="009D391E">
      <w:pPr>
        <w:pStyle w:val="RSCB06BHeadingSub-Section"/>
        <w:numPr>
          <w:ilvl w:val="0"/>
          <w:numId w:val="6"/>
        </w:numPr>
        <w:jc w:val="both"/>
        <w:rPr>
          <w:rFonts w:ascii="Times New Roman" w:hAnsi="Times New Roman"/>
          <w:b w:val="0"/>
          <w:sz w:val="20"/>
          <w:szCs w:val="20"/>
          <w:lang w:val="en-US"/>
        </w:rPr>
      </w:pPr>
      <w:r w:rsidRPr="00314E4C">
        <w:rPr>
          <w:rFonts w:ascii="Times New Roman" w:hAnsi="Times New Roman"/>
          <w:b w:val="0"/>
          <w:sz w:val="20"/>
          <w:szCs w:val="20"/>
          <w:lang w:val="en-US"/>
        </w:rPr>
        <w:t>Deng P, Xu Z, Feng Y, Li J (2012) Electrocatalytic reduction and determination of p-nitrophenol on acetylene</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 xml:space="preserve">black paste electrode coated with </w:t>
      </w:r>
      <w:proofErr w:type="spellStart"/>
      <w:r w:rsidRPr="00314E4C">
        <w:rPr>
          <w:rFonts w:ascii="Times New Roman" w:hAnsi="Times New Roman"/>
          <w:b w:val="0"/>
          <w:sz w:val="20"/>
          <w:szCs w:val="20"/>
          <w:lang w:val="en-US"/>
        </w:rPr>
        <w:t>salicylaldehyde</w:t>
      </w:r>
      <w:proofErr w:type="spellEnd"/>
      <w:r w:rsidRPr="00314E4C">
        <w:rPr>
          <w:rFonts w:ascii="Times New Roman" w:hAnsi="Times New Roman"/>
          <w:b w:val="0"/>
          <w:sz w:val="20"/>
          <w:szCs w:val="20"/>
          <w:lang w:val="en-US"/>
        </w:rPr>
        <w:t>-modified chitosan. Sensors Actuators B: Chemical 168:</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381-389</w:t>
      </w:r>
    </w:p>
    <w:p w14:paraId="42D4BE3F" w14:textId="392FE876" w:rsidR="009D391E" w:rsidRPr="00314E4C" w:rsidRDefault="009D391E" w:rsidP="009D391E">
      <w:pPr>
        <w:pStyle w:val="RSCB06BHeadingSub-Section"/>
        <w:numPr>
          <w:ilvl w:val="0"/>
          <w:numId w:val="6"/>
        </w:numPr>
        <w:jc w:val="both"/>
        <w:rPr>
          <w:rFonts w:ascii="Times New Roman" w:hAnsi="Times New Roman"/>
          <w:b w:val="0"/>
          <w:sz w:val="20"/>
          <w:szCs w:val="20"/>
          <w:lang w:val="en-US"/>
        </w:rPr>
      </w:pPr>
      <w:r w:rsidRPr="00314E4C">
        <w:rPr>
          <w:rFonts w:ascii="Times New Roman" w:hAnsi="Times New Roman"/>
          <w:b w:val="0"/>
          <w:sz w:val="20"/>
          <w:szCs w:val="20"/>
          <w:lang w:val="en-US"/>
        </w:rPr>
        <w:t xml:space="preserve">El </w:t>
      </w:r>
      <w:proofErr w:type="spellStart"/>
      <w:r w:rsidRPr="00314E4C">
        <w:rPr>
          <w:rFonts w:ascii="Times New Roman" w:hAnsi="Times New Roman"/>
          <w:b w:val="0"/>
          <w:sz w:val="20"/>
          <w:szCs w:val="20"/>
          <w:lang w:val="en-US"/>
        </w:rPr>
        <w:t>Mhammedi</w:t>
      </w:r>
      <w:proofErr w:type="spellEnd"/>
      <w:r w:rsidRPr="00314E4C">
        <w:rPr>
          <w:rFonts w:ascii="Times New Roman" w:hAnsi="Times New Roman"/>
          <w:b w:val="0"/>
          <w:sz w:val="20"/>
          <w:szCs w:val="20"/>
          <w:lang w:val="en-US"/>
        </w:rPr>
        <w:t xml:space="preserve"> MA, </w:t>
      </w:r>
      <w:proofErr w:type="spellStart"/>
      <w:r w:rsidRPr="00314E4C">
        <w:rPr>
          <w:rFonts w:ascii="Times New Roman" w:hAnsi="Times New Roman"/>
          <w:b w:val="0"/>
          <w:sz w:val="20"/>
          <w:szCs w:val="20"/>
          <w:lang w:val="en-US"/>
        </w:rPr>
        <w:t>Achak</w:t>
      </w:r>
      <w:proofErr w:type="spellEnd"/>
      <w:r w:rsidRPr="00314E4C">
        <w:rPr>
          <w:rFonts w:ascii="Times New Roman" w:hAnsi="Times New Roman"/>
          <w:b w:val="0"/>
          <w:sz w:val="20"/>
          <w:szCs w:val="20"/>
          <w:lang w:val="en-US"/>
        </w:rPr>
        <w:t xml:space="preserve"> M, </w:t>
      </w:r>
      <w:proofErr w:type="spellStart"/>
      <w:r w:rsidRPr="00314E4C">
        <w:rPr>
          <w:rFonts w:ascii="Times New Roman" w:hAnsi="Times New Roman"/>
          <w:b w:val="0"/>
          <w:sz w:val="20"/>
          <w:szCs w:val="20"/>
          <w:lang w:val="en-US"/>
        </w:rPr>
        <w:t>Bakasse</w:t>
      </w:r>
      <w:proofErr w:type="spellEnd"/>
      <w:r w:rsidRPr="00314E4C">
        <w:rPr>
          <w:rFonts w:ascii="Times New Roman" w:hAnsi="Times New Roman"/>
          <w:b w:val="0"/>
          <w:sz w:val="20"/>
          <w:szCs w:val="20"/>
          <w:lang w:val="en-US"/>
        </w:rPr>
        <w:t xml:space="preserve"> M, </w:t>
      </w:r>
      <w:proofErr w:type="spellStart"/>
      <w:r w:rsidRPr="00314E4C">
        <w:rPr>
          <w:rFonts w:ascii="Times New Roman" w:hAnsi="Times New Roman"/>
          <w:b w:val="0"/>
          <w:sz w:val="20"/>
          <w:szCs w:val="20"/>
          <w:lang w:val="en-US"/>
        </w:rPr>
        <w:t>Chtaini</w:t>
      </w:r>
      <w:proofErr w:type="spellEnd"/>
      <w:r w:rsidRPr="00314E4C">
        <w:rPr>
          <w:rFonts w:ascii="Times New Roman" w:hAnsi="Times New Roman"/>
          <w:b w:val="0"/>
          <w:sz w:val="20"/>
          <w:szCs w:val="20"/>
          <w:lang w:val="en-US"/>
        </w:rPr>
        <w:t xml:space="preserve"> A (2009) E</w:t>
      </w:r>
      <w:r w:rsidR="0099655D" w:rsidRPr="00314E4C">
        <w:rPr>
          <w:rFonts w:ascii="Times New Roman" w:hAnsi="Times New Roman"/>
          <w:b w:val="0"/>
          <w:sz w:val="20"/>
          <w:szCs w:val="20"/>
          <w:lang w:val="en-US"/>
        </w:rPr>
        <w:t xml:space="preserve">lectrochemical determination of </w:t>
      </w:r>
      <w:proofErr w:type="spellStart"/>
      <w:r w:rsidRPr="00314E4C">
        <w:rPr>
          <w:rFonts w:ascii="Times New Roman" w:hAnsi="Times New Roman"/>
          <w:b w:val="0"/>
          <w:sz w:val="20"/>
          <w:szCs w:val="20"/>
          <w:lang w:val="en-US"/>
        </w:rPr>
        <w:t>paranitrophenol</w:t>
      </w:r>
      <w:proofErr w:type="spellEnd"/>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at apatite-modified carbon paste electrode: Application in river water samples. J Hazard Mat 163:</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323–328</w:t>
      </w:r>
    </w:p>
    <w:p w14:paraId="12EA4342" w14:textId="37D65EDB" w:rsidR="009D391E" w:rsidRPr="00314E4C" w:rsidRDefault="009D391E" w:rsidP="009D391E">
      <w:pPr>
        <w:pStyle w:val="RSCB06BHeadingSub-Section"/>
        <w:numPr>
          <w:ilvl w:val="0"/>
          <w:numId w:val="6"/>
        </w:numPr>
        <w:jc w:val="both"/>
        <w:rPr>
          <w:rFonts w:ascii="Times New Roman" w:hAnsi="Times New Roman"/>
          <w:b w:val="0"/>
          <w:sz w:val="20"/>
          <w:szCs w:val="20"/>
          <w:lang w:val="en-US"/>
        </w:rPr>
      </w:pPr>
      <w:r w:rsidRPr="00314E4C">
        <w:rPr>
          <w:rFonts w:ascii="Times New Roman" w:hAnsi="Times New Roman"/>
          <w:b w:val="0"/>
          <w:sz w:val="20"/>
          <w:szCs w:val="20"/>
          <w:lang w:val="en-US"/>
        </w:rPr>
        <w:t xml:space="preserve">De Souza D, </w:t>
      </w:r>
      <w:proofErr w:type="spellStart"/>
      <w:r w:rsidRPr="00314E4C">
        <w:rPr>
          <w:rFonts w:ascii="Times New Roman" w:hAnsi="Times New Roman"/>
          <w:b w:val="0"/>
          <w:sz w:val="20"/>
          <w:szCs w:val="20"/>
          <w:lang w:val="en-US"/>
        </w:rPr>
        <w:t>Mascaro</w:t>
      </w:r>
      <w:proofErr w:type="spellEnd"/>
      <w:r w:rsidRPr="00314E4C">
        <w:rPr>
          <w:rFonts w:ascii="Times New Roman" w:hAnsi="Times New Roman"/>
          <w:b w:val="0"/>
          <w:sz w:val="20"/>
          <w:szCs w:val="20"/>
          <w:lang w:val="en-US"/>
        </w:rPr>
        <w:t xml:space="preserve"> LH, </w:t>
      </w:r>
      <w:proofErr w:type="spellStart"/>
      <w:r w:rsidRPr="00314E4C">
        <w:rPr>
          <w:rFonts w:ascii="Times New Roman" w:hAnsi="Times New Roman"/>
          <w:b w:val="0"/>
          <w:sz w:val="20"/>
          <w:szCs w:val="20"/>
          <w:lang w:val="en-US"/>
        </w:rPr>
        <w:t>Fatibello-Filho</w:t>
      </w:r>
      <w:proofErr w:type="spellEnd"/>
      <w:r w:rsidRPr="00314E4C">
        <w:rPr>
          <w:rFonts w:ascii="Times New Roman" w:hAnsi="Times New Roman"/>
          <w:b w:val="0"/>
          <w:sz w:val="20"/>
          <w:szCs w:val="20"/>
          <w:lang w:val="en-US"/>
        </w:rPr>
        <w:t xml:space="preserve"> O (2011) A comparative electrochemical </w:t>
      </w:r>
      <w:proofErr w:type="spellStart"/>
      <w:r w:rsidRPr="00314E4C">
        <w:rPr>
          <w:rFonts w:ascii="Times New Roman" w:hAnsi="Times New Roman"/>
          <w:b w:val="0"/>
          <w:sz w:val="20"/>
          <w:szCs w:val="20"/>
          <w:lang w:val="en-US"/>
        </w:rPr>
        <w:t>behaviour</w:t>
      </w:r>
      <w:proofErr w:type="spellEnd"/>
      <w:r w:rsidRPr="00314E4C">
        <w:rPr>
          <w:rFonts w:ascii="Times New Roman" w:hAnsi="Times New Roman"/>
          <w:b w:val="0"/>
          <w:sz w:val="20"/>
          <w:szCs w:val="20"/>
          <w:lang w:val="en-US"/>
        </w:rPr>
        <w:t xml:space="preserve"> study and</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 xml:space="preserve">analytical detection of the p-nitrophenol using silver solid amalgam, mercury, and silver electrodes. </w:t>
      </w:r>
      <w:proofErr w:type="spellStart"/>
      <w:r w:rsidRPr="00314E4C">
        <w:rPr>
          <w:rFonts w:ascii="Times New Roman" w:hAnsi="Times New Roman"/>
          <w:b w:val="0"/>
          <w:sz w:val="20"/>
          <w:szCs w:val="20"/>
          <w:lang w:val="en-US"/>
        </w:rPr>
        <w:t>Int</w:t>
      </w:r>
      <w:proofErr w:type="spellEnd"/>
      <w:r w:rsidRPr="00314E4C">
        <w:rPr>
          <w:rFonts w:ascii="Times New Roman" w:hAnsi="Times New Roman"/>
          <w:b w:val="0"/>
          <w:sz w:val="20"/>
          <w:szCs w:val="20"/>
          <w:lang w:val="en-US"/>
        </w:rPr>
        <w:t xml:space="preserve"> J</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 xml:space="preserve">Anal </w:t>
      </w:r>
      <w:proofErr w:type="spellStart"/>
      <w:r w:rsidRPr="00314E4C">
        <w:rPr>
          <w:rFonts w:ascii="Times New Roman" w:hAnsi="Times New Roman"/>
          <w:b w:val="0"/>
          <w:sz w:val="20"/>
          <w:szCs w:val="20"/>
          <w:lang w:val="en-US"/>
        </w:rPr>
        <w:t>Chem</w:t>
      </w:r>
      <w:proofErr w:type="spellEnd"/>
      <w:r w:rsidRPr="00314E4C">
        <w:rPr>
          <w:rFonts w:ascii="Times New Roman" w:hAnsi="Times New Roman"/>
          <w:b w:val="0"/>
          <w:sz w:val="20"/>
          <w:szCs w:val="20"/>
          <w:lang w:val="en-US"/>
        </w:rPr>
        <w:t xml:space="preserve"> </w:t>
      </w:r>
      <w:proofErr w:type="spellStart"/>
      <w:r w:rsidRPr="00314E4C">
        <w:rPr>
          <w:rFonts w:ascii="Times New Roman" w:hAnsi="Times New Roman"/>
          <w:b w:val="0"/>
          <w:sz w:val="20"/>
          <w:szCs w:val="20"/>
          <w:lang w:val="en-US"/>
        </w:rPr>
        <w:t>doi</w:t>
      </w:r>
      <w:proofErr w:type="spellEnd"/>
      <w:r w:rsidRPr="00314E4C">
        <w:rPr>
          <w:rFonts w:ascii="Times New Roman" w:hAnsi="Times New Roman"/>
          <w:b w:val="0"/>
          <w:sz w:val="20"/>
          <w:szCs w:val="20"/>
          <w:lang w:val="en-US"/>
        </w:rPr>
        <w:t xml:space="preserve">: </w:t>
      </w:r>
      <w:r w:rsidR="0099655D" w:rsidRPr="00747134">
        <w:rPr>
          <w:rFonts w:ascii="Times New Roman" w:hAnsi="Times New Roman"/>
          <w:b w:val="0"/>
          <w:sz w:val="20"/>
          <w:szCs w:val="20"/>
          <w:lang w:val="en-US"/>
        </w:rPr>
        <w:t>http://dx.doi.org/10.1155/2011/726462</w:t>
      </w:r>
    </w:p>
    <w:p w14:paraId="044720A1" w14:textId="648306F9" w:rsidR="009D391E" w:rsidRPr="00314E4C" w:rsidRDefault="009D391E" w:rsidP="009D391E">
      <w:pPr>
        <w:pStyle w:val="RSCB06BHeadingSub-Section"/>
        <w:numPr>
          <w:ilvl w:val="0"/>
          <w:numId w:val="6"/>
        </w:numPr>
        <w:jc w:val="both"/>
        <w:rPr>
          <w:rFonts w:ascii="Times New Roman" w:hAnsi="Times New Roman"/>
          <w:b w:val="0"/>
          <w:sz w:val="20"/>
          <w:szCs w:val="20"/>
          <w:lang w:val="en-US"/>
        </w:rPr>
      </w:pPr>
      <w:proofErr w:type="spellStart"/>
      <w:r w:rsidRPr="00314E4C">
        <w:rPr>
          <w:rFonts w:ascii="Times New Roman" w:hAnsi="Times New Roman"/>
          <w:b w:val="0"/>
          <w:sz w:val="20"/>
          <w:szCs w:val="20"/>
          <w:lang w:val="en-US"/>
        </w:rPr>
        <w:t>Noguer</w:t>
      </w:r>
      <w:proofErr w:type="spellEnd"/>
      <w:r w:rsidRPr="00314E4C">
        <w:rPr>
          <w:rFonts w:ascii="Times New Roman" w:hAnsi="Times New Roman"/>
          <w:b w:val="0"/>
          <w:sz w:val="20"/>
          <w:szCs w:val="20"/>
          <w:lang w:val="en-US"/>
        </w:rPr>
        <w:t xml:space="preserve"> T, </w:t>
      </w:r>
      <w:proofErr w:type="spellStart"/>
      <w:r w:rsidRPr="00314E4C">
        <w:rPr>
          <w:rFonts w:ascii="Times New Roman" w:hAnsi="Times New Roman"/>
          <w:b w:val="0"/>
          <w:sz w:val="20"/>
          <w:szCs w:val="20"/>
          <w:lang w:val="en-US"/>
        </w:rPr>
        <w:t>Leca</w:t>
      </w:r>
      <w:proofErr w:type="spellEnd"/>
      <w:r w:rsidRPr="00314E4C">
        <w:rPr>
          <w:rFonts w:ascii="Times New Roman" w:hAnsi="Times New Roman"/>
          <w:b w:val="0"/>
          <w:sz w:val="20"/>
          <w:szCs w:val="20"/>
          <w:lang w:val="en-US"/>
        </w:rPr>
        <w:t xml:space="preserve"> B, </w:t>
      </w:r>
      <w:proofErr w:type="spellStart"/>
      <w:r w:rsidRPr="00314E4C">
        <w:rPr>
          <w:rFonts w:ascii="Times New Roman" w:hAnsi="Times New Roman"/>
          <w:b w:val="0"/>
          <w:sz w:val="20"/>
          <w:szCs w:val="20"/>
          <w:lang w:val="en-US"/>
        </w:rPr>
        <w:t>Jeanty</w:t>
      </w:r>
      <w:proofErr w:type="spellEnd"/>
      <w:r w:rsidRPr="00314E4C">
        <w:rPr>
          <w:rFonts w:ascii="Times New Roman" w:hAnsi="Times New Roman"/>
          <w:b w:val="0"/>
          <w:sz w:val="20"/>
          <w:szCs w:val="20"/>
          <w:lang w:val="en-US"/>
        </w:rPr>
        <w:t xml:space="preserve"> G, Marty JL (1999) Biosensors based on enzyme inhibition: Detection of</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 xml:space="preserve">organophosphorus and carbamate insecticides and </w:t>
      </w:r>
      <w:proofErr w:type="spellStart"/>
      <w:r w:rsidRPr="00314E4C">
        <w:rPr>
          <w:rFonts w:ascii="Times New Roman" w:hAnsi="Times New Roman"/>
          <w:b w:val="0"/>
          <w:sz w:val="20"/>
          <w:szCs w:val="20"/>
          <w:lang w:val="en-US"/>
        </w:rPr>
        <w:t>dithiocarbamate</w:t>
      </w:r>
      <w:proofErr w:type="spellEnd"/>
      <w:r w:rsidRPr="00314E4C">
        <w:rPr>
          <w:rFonts w:ascii="Times New Roman" w:hAnsi="Times New Roman"/>
          <w:b w:val="0"/>
          <w:sz w:val="20"/>
          <w:szCs w:val="20"/>
          <w:lang w:val="en-US"/>
        </w:rPr>
        <w:t xml:space="preserve"> fungicides. Field Anal </w:t>
      </w:r>
      <w:proofErr w:type="spellStart"/>
      <w:r w:rsidRPr="00314E4C">
        <w:rPr>
          <w:rFonts w:ascii="Times New Roman" w:hAnsi="Times New Roman"/>
          <w:b w:val="0"/>
          <w:sz w:val="20"/>
          <w:szCs w:val="20"/>
          <w:lang w:val="en-US"/>
        </w:rPr>
        <w:t>Chem</w:t>
      </w:r>
      <w:proofErr w:type="spellEnd"/>
      <w:r w:rsidRPr="00314E4C">
        <w:rPr>
          <w:rFonts w:ascii="Times New Roman" w:hAnsi="Times New Roman"/>
          <w:b w:val="0"/>
          <w:sz w:val="20"/>
          <w:szCs w:val="20"/>
          <w:lang w:val="en-US"/>
        </w:rPr>
        <w:t xml:space="preserve"> Technol. 3:</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171-178</w:t>
      </w:r>
    </w:p>
    <w:p w14:paraId="2F620520" w14:textId="23F1DFF8" w:rsidR="009D391E" w:rsidRPr="00314E4C" w:rsidRDefault="009D391E" w:rsidP="009D391E">
      <w:pPr>
        <w:pStyle w:val="RSCB06BHeadingSub-Section"/>
        <w:numPr>
          <w:ilvl w:val="0"/>
          <w:numId w:val="6"/>
        </w:numPr>
        <w:jc w:val="both"/>
        <w:rPr>
          <w:rFonts w:ascii="Times New Roman" w:hAnsi="Times New Roman"/>
          <w:b w:val="0"/>
          <w:sz w:val="20"/>
          <w:szCs w:val="20"/>
          <w:lang w:val="en-US"/>
        </w:rPr>
      </w:pPr>
      <w:proofErr w:type="spellStart"/>
      <w:r w:rsidRPr="00314E4C">
        <w:rPr>
          <w:rFonts w:ascii="Times New Roman" w:hAnsi="Times New Roman"/>
          <w:b w:val="0"/>
          <w:sz w:val="20"/>
          <w:szCs w:val="20"/>
          <w:lang w:val="en-US"/>
        </w:rPr>
        <w:t>Jha</w:t>
      </w:r>
      <w:proofErr w:type="spellEnd"/>
      <w:r w:rsidRPr="00314E4C">
        <w:rPr>
          <w:rFonts w:ascii="Times New Roman" w:hAnsi="Times New Roman"/>
          <w:b w:val="0"/>
          <w:sz w:val="20"/>
          <w:szCs w:val="20"/>
          <w:lang w:val="en-US"/>
        </w:rPr>
        <w:t xml:space="preserve"> N, </w:t>
      </w:r>
      <w:proofErr w:type="spellStart"/>
      <w:r w:rsidRPr="00314E4C">
        <w:rPr>
          <w:rFonts w:ascii="Times New Roman" w:hAnsi="Times New Roman"/>
          <w:b w:val="0"/>
          <w:sz w:val="20"/>
          <w:szCs w:val="20"/>
          <w:lang w:val="en-US"/>
        </w:rPr>
        <w:t>Ramaprabhu</w:t>
      </w:r>
      <w:proofErr w:type="spellEnd"/>
      <w:r w:rsidRPr="00314E4C">
        <w:rPr>
          <w:rFonts w:ascii="Times New Roman" w:hAnsi="Times New Roman"/>
          <w:b w:val="0"/>
          <w:sz w:val="20"/>
          <w:szCs w:val="20"/>
          <w:lang w:val="en-US"/>
        </w:rPr>
        <w:t xml:space="preserve"> S (2010) Carbon nanotube-polymer based nanocomposite as electrode material for the</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 xml:space="preserve">detection of paraoxon. J </w:t>
      </w:r>
      <w:proofErr w:type="spellStart"/>
      <w:r w:rsidRPr="00314E4C">
        <w:rPr>
          <w:rFonts w:ascii="Times New Roman" w:hAnsi="Times New Roman"/>
          <w:b w:val="0"/>
          <w:sz w:val="20"/>
          <w:szCs w:val="20"/>
          <w:lang w:val="en-US"/>
        </w:rPr>
        <w:t>Nanosci</w:t>
      </w:r>
      <w:proofErr w:type="spellEnd"/>
      <w:r w:rsidRPr="00314E4C">
        <w:rPr>
          <w:rFonts w:ascii="Times New Roman" w:hAnsi="Times New Roman"/>
          <w:b w:val="0"/>
          <w:sz w:val="20"/>
          <w:szCs w:val="20"/>
          <w:lang w:val="en-US"/>
        </w:rPr>
        <w:t xml:space="preserve"> </w:t>
      </w:r>
      <w:proofErr w:type="spellStart"/>
      <w:r w:rsidRPr="00314E4C">
        <w:rPr>
          <w:rFonts w:ascii="Times New Roman" w:hAnsi="Times New Roman"/>
          <w:b w:val="0"/>
          <w:sz w:val="20"/>
          <w:szCs w:val="20"/>
          <w:lang w:val="en-US"/>
        </w:rPr>
        <w:t>Nanotechnol</w:t>
      </w:r>
      <w:proofErr w:type="spellEnd"/>
      <w:r w:rsidRPr="00314E4C">
        <w:rPr>
          <w:rFonts w:ascii="Times New Roman" w:hAnsi="Times New Roman"/>
          <w:b w:val="0"/>
          <w:sz w:val="20"/>
          <w:szCs w:val="20"/>
          <w:lang w:val="en-US"/>
        </w:rPr>
        <w:t xml:space="preserve"> 10:2798-802</w:t>
      </w:r>
    </w:p>
    <w:p w14:paraId="34F6C317" w14:textId="6AA34879" w:rsidR="006E49F4" w:rsidRPr="00747134" w:rsidRDefault="009D391E" w:rsidP="00747134">
      <w:pPr>
        <w:pStyle w:val="RSCB06BHeadingSub-Section"/>
        <w:numPr>
          <w:ilvl w:val="0"/>
          <w:numId w:val="6"/>
        </w:numPr>
        <w:jc w:val="both"/>
        <w:rPr>
          <w:rFonts w:ascii="Times New Roman" w:hAnsi="Times New Roman"/>
          <w:b w:val="0"/>
          <w:sz w:val="20"/>
          <w:szCs w:val="20"/>
          <w:lang w:val="en-US"/>
        </w:rPr>
      </w:pPr>
      <w:proofErr w:type="spellStart"/>
      <w:r w:rsidRPr="00314E4C">
        <w:rPr>
          <w:rFonts w:ascii="Times New Roman" w:hAnsi="Times New Roman"/>
          <w:b w:val="0"/>
          <w:sz w:val="20"/>
          <w:szCs w:val="20"/>
          <w:lang w:val="en-US"/>
        </w:rPr>
        <w:t>Arduini</w:t>
      </w:r>
      <w:proofErr w:type="spellEnd"/>
      <w:r w:rsidRPr="00314E4C">
        <w:rPr>
          <w:rFonts w:ascii="Times New Roman" w:hAnsi="Times New Roman"/>
          <w:b w:val="0"/>
          <w:sz w:val="20"/>
          <w:szCs w:val="20"/>
          <w:lang w:val="en-US"/>
        </w:rPr>
        <w:t xml:space="preserve"> F, </w:t>
      </w:r>
      <w:proofErr w:type="spellStart"/>
      <w:r w:rsidRPr="00314E4C">
        <w:rPr>
          <w:rFonts w:ascii="Times New Roman" w:hAnsi="Times New Roman"/>
          <w:b w:val="0"/>
          <w:sz w:val="20"/>
          <w:szCs w:val="20"/>
          <w:lang w:val="en-US"/>
        </w:rPr>
        <w:t>Neagu</w:t>
      </w:r>
      <w:proofErr w:type="spellEnd"/>
      <w:r w:rsidRPr="00314E4C">
        <w:rPr>
          <w:rFonts w:ascii="Times New Roman" w:hAnsi="Times New Roman"/>
          <w:b w:val="0"/>
          <w:sz w:val="20"/>
          <w:szCs w:val="20"/>
          <w:lang w:val="en-US"/>
        </w:rPr>
        <w:t xml:space="preserve"> D, </w:t>
      </w:r>
      <w:proofErr w:type="spellStart"/>
      <w:r w:rsidRPr="00314E4C">
        <w:rPr>
          <w:rFonts w:ascii="Times New Roman" w:hAnsi="Times New Roman"/>
          <w:b w:val="0"/>
          <w:sz w:val="20"/>
          <w:szCs w:val="20"/>
          <w:lang w:val="en-US"/>
        </w:rPr>
        <w:t>Scognamiglio</w:t>
      </w:r>
      <w:proofErr w:type="spellEnd"/>
      <w:r w:rsidRPr="00314E4C">
        <w:rPr>
          <w:rFonts w:ascii="Times New Roman" w:hAnsi="Times New Roman"/>
          <w:b w:val="0"/>
          <w:sz w:val="20"/>
          <w:szCs w:val="20"/>
          <w:lang w:val="en-US"/>
        </w:rPr>
        <w:t xml:space="preserve"> V, </w:t>
      </w:r>
      <w:proofErr w:type="spellStart"/>
      <w:r w:rsidRPr="00314E4C">
        <w:rPr>
          <w:rFonts w:ascii="Times New Roman" w:hAnsi="Times New Roman"/>
          <w:b w:val="0"/>
          <w:sz w:val="20"/>
          <w:szCs w:val="20"/>
          <w:lang w:val="en-US"/>
        </w:rPr>
        <w:t>Patarino</w:t>
      </w:r>
      <w:proofErr w:type="spellEnd"/>
      <w:r w:rsidRPr="00314E4C">
        <w:rPr>
          <w:rFonts w:ascii="Times New Roman" w:hAnsi="Times New Roman"/>
          <w:b w:val="0"/>
          <w:sz w:val="20"/>
          <w:szCs w:val="20"/>
          <w:lang w:val="en-US"/>
        </w:rPr>
        <w:t xml:space="preserve"> S, </w:t>
      </w:r>
      <w:proofErr w:type="spellStart"/>
      <w:r w:rsidRPr="00314E4C">
        <w:rPr>
          <w:rFonts w:ascii="Times New Roman" w:hAnsi="Times New Roman"/>
          <w:b w:val="0"/>
          <w:sz w:val="20"/>
          <w:szCs w:val="20"/>
          <w:lang w:val="en-US"/>
        </w:rPr>
        <w:t>Moscone</w:t>
      </w:r>
      <w:proofErr w:type="spellEnd"/>
      <w:r w:rsidRPr="00314E4C">
        <w:rPr>
          <w:rFonts w:ascii="Times New Roman" w:hAnsi="Times New Roman"/>
          <w:b w:val="0"/>
          <w:sz w:val="20"/>
          <w:szCs w:val="20"/>
          <w:lang w:val="en-US"/>
        </w:rPr>
        <w:t xml:space="preserve"> D, </w:t>
      </w:r>
      <w:proofErr w:type="spellStart"/>
      <w:r w:rsidRPr="00314E4C">
        <w:rPr>
          <w:rFonts w:ascii="Times New Roman" w:hAnsi="Times New Roman"/>
          <w:b w:val="0"/>
          <w:sz w:val="20"/>
          <w:szCs w:val="20"/>
          <w:lang w:val="en-US"/>
        </w:rPr>
        <w:t>Palleschi</w:t>
      </w:r>
      <w:proofErr w:type="spellEnd"/>
      <w:r w:rsidRPr="00314E4C">
        <w:rPr>
          <w:rFonts w:ascii="Times New Roman" w:hAnsi="Times New Roman"/>
          <w:b w:val="0"/>
          <w:sz w:val="20"/>
          <w:szCs w:val="20"/>
          <w:lang w:val="en-US"/>
        </w:rPr>
        <w:t xml:space="preserve"> G (2015) Automatable flow system</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 xml:space="preserve">for paraoxon detection with an embedded screen-printed electrode tailored with </w:t>
      </w:r>
      <w:proofErr w:type="spellStart"/>
      <w:r w:rsidRPr="00314E4C">
        <w:rPr>
          <w:rFonts w:ascii="Times New Roman" w:hAnsi="Times New Roman"/>
          <w:b w:val="0"/>
          <w:sz w:val="20"/>
          <w:szCs w:val="20"/>
          <w:lang w:val="en-US"/>
        </w:rPr>
        <w:t>butyrylcholinesterase</w:t>
      </w:r>
      <w:proofErr w:type="spellEnd"/>
      <w:r w:rsidRPr="00314E4C">
        <w:rPr>
          <w:rFonts w:ascii="Times New Roman" w:hAnsi="Times New Roman"/>
          <w:b w:val="0"/>
          <w:sz w:val="20"/>
          <w:szCs w:val="20"/>
          <w:lang w:val="en-US"/>
        </w:rPr>
        <w:t xml:space="preserve"> and</w:t>
      </w:r>
      <w:r w:rsidR="0099655D" w:rsidRPr="00314E4C">
        <w:rPr>
          <w:rFonts w:ascii="Times New Roman" w:hAnsi="Times New Roman"/>
          <w:b w:val="0"/>
          <w:sz w:val="20"/>
          <w:szCs w:val="20"/>
          <w:lang w:val="en-US"/>
        </w:rPr>
        <w:t xml:space="preserve"> </w:t>
      </w:r>
      <w:proofErr w:type="spellStart"/>
      <w:r w:rsidRPr="00314E4C">
        <w:rPr>
          <w:rFonts w:ascii="Times New Roman" w:hAnsi="Times New Roman"/>
          <w:b w:val="0"/>
          <w:sz w:val="20"/>
          <w:szCs w:val="20"/>
          <w:lang w:val="en-US"/>
        </w:rPr>
        <w:t>prussian</w:t>
      </w:r>
      <w:proofErr w:type="spellEnd"/>
      <w:r w:rsidRPr="00314E4C">
        <w:rPr>
          <w:rFonts w:ascii="Times New Roman" w:hAnsi="Times New Roman"/>
          <w:b w:val="0"/>
          <w:sz w:val="20"/>
          <w:szCs w:val="20"/>
          <w:lang w:val="en-US"/>
        </w:rPr>
        <w:t xml:space="preserve"> blue nanoparticles. </w:t>
      </w:r>
      <w:proofErr w:type="spellStart"/>
      <w:r w:rsidRPr="00314E4C">
        <w:rPr>
          <w:rFonts w:ascii="Times New Roman" w:hAnsi="Times New Roman"/>
          <w:b w:val="0"/>
          <w:sz w:val="20"/>
          <w:szCs w:val="20"/>
          <w:lang w:val="en-US"/>
        </w:rPr>
        <w:t>Chemosensors</w:t>
      </w:r>
      <w:proofErr w:type="spellEnd"/>
      <w:r w:rsidRPr="00314E4C">
        <w:rPr>
          <w:rFonts w:ascii="Times New Roman" w:hAnsi="Times New Roman"/>
          <w:b w:val="0"/>
          <w:sz w:val="20"/>
          <w:szCs w:val="20"/>
          <w:lang w:val="en-US"/>
        </w:rPr>
        <w:t xml:space="preserve"> 3:129-145</w:t>
      </w:r>
    </w:p>
    <w:p w14:paraId="5BE961DB" w14:textId="256122D6" w:rsidR="009D391E" w:rsidRPr="00314E4C" w:rsidRDefault="009D391E" w:rsidP="009D391E">
      <w:pPr>
        <w:pStyle w:val="RSCB06BHeadingSub-Section"/>
        <w:numPr>
          <w:ilvl w:val="0"/>
          <w:numId w:val="6"/>
        </w:numPr>
        <w:jc w:val="both"/>
        <w:rPr>
          <w:rFonts w:ascii="Times New Roman" w:hAnsi="Times New Roman"/>
          <w:b w:val="0"/>
          <w:sz w:val="20"/>
          <w:szCs w:val="20"/>
          <w:lang w:val="en-US"/>
        </w:rPr>
      </w:pPr>
      <w:proofErr w:type="spellStart"/>
      <w:r w:rsidRPr="00314E4C">
        <w:rPr>
          <w:rFonts w:ascii="Times New Roman" w:hAnsi="Times New Roman"/>
          <w:b w:val="0"/>
          <w:sz w:val="20"/>
          <w:szCs w:val="20"/>
          <w:lang w:val="en-US"/>
        </w:rPr>
        <w:t>Pedrosa</w:t>
      </w:r>
      <w:proofErr w:type="spellEnd"/>
      <w:r w:rsidRPr="00314E4C">
        <w:rPr>
          <w:rFonts w:ascii="Times New Roman" w:hAnsi="Times New Roman"/>
          <w:b w:val="0"/>
          <w:sz w:val="20"/>
          <w:szCs w:val="20"/>
          <w:lang w:val="en-US"/>
        </w:rPr>
        <w:t xml:space="preserve"> VA, </w:t>
      </w:r>
      <w:proofErr w:type="spellStart"/>
      <w:r w:rsidRPr="00314E4C">
        <w:rPr>
          <w:rFonts w:ascii="Times New Roman" w:hAnsi="Times New Roman"/>
          <w:b w:val="0"/>
          <w:sz w:val="20"/>
          <w:szCs w:val="20"/>
          <w:lang w:val="en-US"/>
        </w:rPr>
        <w:t>Paliwal</w:t>
      </w:r>
      <w:proofErr w:type="spellEnd"/>
      <w:r w:rsidRPr="00314E4C">
        <w:rPr>
          <w:rFonts w:ascii="Times New Roman" w:hAnsi="Times New Roman"/>
          <w:b w:val="0"/>
          <w:sz w:val="20"/>
          <w:szCs w:val="20"/>
          <w:lang w:val="en-US"/>
        </w:rPr>
        <w:t xml:space="preserve"> S, </w:t>
      </w:r>
      <w:proofErr w:type="spellStart"/>
      <w:r w:rsidRPr="00314E4C">
        <w:rPr>
          <w:rFonts w:ascii="Times New Roman" w:hAnsi="Times New Roman"/>
          <w:b w:val="0"/>
          <w:sz w:val="20"/>
          <w:szCs w:val="20"/>
          <w:lang w:val="en-US"/>
        </w:rPr>
        <w:t>Balasubramanian</w:t>
      </w:r>
      <w:proofErr w:type="spellEnd"/>
      <w:r w:rsidRPr="00314E4C">
        <w:rPr>
          <w:rFonts w:ascii="Times New Roman" w:hAnsi="Times New Roman"/>
          <w:b w:val="0"/>
          <w:sz w:val="20"/>
          <w:szCs w:val="20"/>
          <w:lang w:val="en-US"/>
        </w:rPr>
        <w:t xml:space="preserve"> S, Nepal D, Davis V, Wild J, </w:t>
      </w:r>
      <w:proofErr w:type="spellStart"/>
      <w:r w:rsidRPr="00314E4C">
        <w:rPr>
          <w:rFonts w:ascii="Times New Roman" w:hAnsi="Times New Roman"/>
          <w:b w:val="0"/>
          <w:sz w:val="20"/>
          <w:szCs w:val="20"/>
          <w:lang w:val="en-US"/>
        </w:rPr>
        <w:t>Ramanculo</w:t>
      </w:r>
      <w:proofErr w:type="spellEnd"/>
      <w:r w:rsidRPr="00314E4C">
        <w:rPr>
          <w:rFonts w:ascii="Times New Roman" w:hAnsi="Times New Roman"/>
          <w:b w:val="0"/>
          <w:sz w:val="20"/>
          <w:szCs w:val="20"/>
          <w:lang w:val="en-US"/>
        </w:rPr>
        <w:t xml:space="preserve"> E, Simonian A (2010)</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 xml:space="preserve">Enhanced stability of enzyme organophosphate hydrolase interfaced on the carbon nanotubes. </w:t>
      </w:r>
      <w:proofErr w:type="spellStart"/>
      <w:r w:rsidRPr="00314E4C">
        <w:rPr>
          <w:rFonts w:ascii="Times New Roman" w:hAnsi="Times New Roman"/>
          <w:b w:val="0"/>
          <w:sz w:val="20"/>
          <w:szCs w:val="20"/>
          <w:lang w:val="en-US"/>
        </w:rPr>
        <w:t>Coll</w:t>
      </w:r>
      <w:proofErr w:type="spellEnd"/>
      <w:r w:rsidRPr="00314E4C">
        <w:rPr>
          <w:rFonts w:ascii="Times New Roman" w:hAnsi="Times New Roman"/>
          <w:b w:val="0"/>
          <w:sz w:val="20"/>
          <w:szCs w:val="20"/>
          <w:lang w:val="en-US"/>
        </w:rPr>
        <w:t xml:space="preserve"> Surf B:</w:t>
      </w:r>
      <w:r w:rsidR="0099655D" w:rsidRPr="00314E4C">
        <w:rPr>
          <w:rFonts w:ascii="Times New Roman" w:hAnsi="Times New Roman"/>
          <w:b w:val="0"/>
          <w:sz w:val="20"/>
          <w:szCs w:val="20"/>
          <w:lang w:val="en-US"/>
        </w:rPr>
        <w:t xml:space="preserve"> </w:t>
      </w:r>
      <w:proofErr w:type="spellStart"/>
      <w:r w:rsidRPr="00314E4C">
        <w:rPr>
          <w:rFonts w:ascii="Times New Roman" w:hAnsi="Times New Roman"/>
          <w:b w:val="0"/>
          <w:sz w:val="20"/>
          <w:szCs w:val="20"/>
          <w:lang w:val="en-US"/>
        </w:rPr>
        <w:t>Biointerface</w:t>
      </w:r>
      <w:proofErr w:type="spellEnd"/>
      <w:r w:rsidRPr="00314E4C">
        <w:rPr>
          <w:rFonts w:ascii="Times New Roman" w:hAnsi="Times New Roman"/>
          <w:b w:val="0"/>
          <w:sz w:val="20"/>
          <w:szCs w:val="20"/>
          <w:lang w:val="en-US"/>
        </w:rPr>
        <w:t xml:space="preserve"> 77:69-74</w:t>
      </w:r>
    </w:p>
    <w:p w14:paraId="1AAAC756" w14:textId="46AD6661" w:rsidR="009D391E" w:rsidRPr="00314E4C" w:rsidRDefault="009D391E" w:rsidP="009D391E">
      <w:pPr>
        <w:pStyle w:val="RSCB06BHeadingSub-Section"/>
        <w:numPr>
          <w:ilvl w:val="0"/>
          <w:numId w:val="6"/>
        </w:numPr>
        <w:jc w:val="both"/>
        <w:rPr>
          <w:rFonts w:ascii="Times New Roman" w:hAnsi="Times New Roman"/>
          <w:b w:val="0"/>
          <w:sz w:val="20"/>
          <w:szCs w:val="20"/>
          <w:lang w:val="en-US"/>
        </w:rPr>
      </w:pPr>
      <w:r w:rsidRPr="00314E4C">
        <w:rPr>
          <w:rFonts w:ascii="Times New Roman" w:hAnsi="Times New Roman"/>
          <w:b w:val="0"/>
          <w:sz w:val="20"/>
          <w:szCs w:val="20"/>
          <w:lang w:val="en-US"/>
        </w:rPr>
        <w:t xml:space="preserve">Chough SH, </w:t>
      </w:r>
      <w:proofErr w:type="spellStart"/>
      <w:r w:rsidRPr="00314E4C">
        <w:rPr>
          <w:rFonts w:ascii="Times New Roman" w:hAnsi="Times New Roman"/>
          <w:b w:val="0"/>
          <w:sz w:val="20"/>
          <w:szCs w:val="20"/>
          <w:lang w:val="en-US"/>
        </w:rPr>
        <w:t>Mulchandani</w:t>
      </w:r>
      <w:proofErr w:type="spellEnd"/>
      <w:r w:rsidRPr="00314E4C">
        <w:rPr>
          <w:rFonts w:ascii="Times New Roman" w:hAnsi="Times New Roman"/>
          <w:b w:val="0"/>
          <w:sz w:val="20"/>
          <w:szCs w:val="20"/>
          <w:lang w:val="en-US"/>
        </w:rPr>
        <w:t xml:space="preserve"> A, </w:t>
      </w:r>
      <w:proofErr w:type="spellStart"/>
      <w:r w:rsidRPr="00314E4C">
        <w:rPr>
          <w:rFonts w:ascii="Times New Roman" w:hAnsi="Times New Roman"/>
          <w:b w:val="0"/>
          <w:sz w:val="20"/>
          <w:szCs w:val="20"/>
          <w:lang w:val="en-US"/>
        </w:rPr>
        <w:t>Mulchandani</w:t>
      </w:r>
      <w:proofErr w:type="spellEnd"/>
      <w:r w:rsidRPr="00314E4C">
        <w:rPr>
          <w:rFonts w:ascii="Times New Roman" w:hAnsi="Times New Roman"/>
          <w:b w:val="0"/>
          <w:sz w:val="20"/>
          <w:szCs w:val="20"/>
          <w:lang w:val="en-US"/>
        </w:rPr>
        <w:t xml:space="preserve"> P, Chen W, Wang J, Rogers KR (2002) Organophosphorus</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hydrolase-based amperometric sensor: modulation of sensitivity and substrate selectivity. Electroanalysis</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14:274-276</w:t>
      </w:r>
    </w:p>
    <w:p w14:paraId="23768F2E" w14:textId="0D076A5E" w:rsidR="009D391E" w:rsidRPr="00314E4C" w:rsidRDefault="009D391E" w:rsidP="009D391E">
      <w:pPr>
        <w:pStyle w:val="RSCB06BHeadingSub-Section"/>
        <w:numPr>
          <w:ilvl w:val="0"/>
          <w:numId w:val="6"/>
        </w:numPr>
        <w:jc w:val="both"/>
        <w:rPr>
          <w:rFonts w:ascii="Times New Roman" w:hAnsi="Times New Roman"/>
          <w:b w:val="0"/>
          <w:sz w:val="20"/>
          <w:szCs w:val="20"/>
          <w:lang w:val="en-US"/>
        </w:rPr>
      </w:pPr>
      <w:r w:rsidRPr="00314E4C">
        <w:rPr>
          <w:rFonts w:ascii="Times New Roman" w:hAnsi="Times New Roman"/>
          <w:b w:val="0"/>
          <w:sz w:val="20"/>
          <w:szCs w:val="20"/>
          <w:lang w:val="en-US"/>
        </w:rPr>
        <w:t xml:space="preserve">Lee JH, Park JY, Min K, Cha HJ, Choi SS, </w:t>
      </w:r>
      <w:proofErr w:type="spellStart"/>
      <w:r w:rsidRPr="00314E4C">
        <w:rPr>
          <w:rFonts w:ascii="Times New Roman" w:hAnsi="Times New Roman"/>
          <w:b w:val="0"/>
          <w:sz w:val="20"/>
          <w:szCs w:val="20"/>
          <w:lang w:val="en-US"/>
        </w:rPr>
        <w:t>Yoo</w:t>
      </w:r>
      <w:proofErr w:type="spellEnd"/>
      <w:r w:rsidRPr="00314E4C">
        <w:rPr>
          <w:rFonts w:ascii="Times New Roman" w:hAnsi="Times New Roman"/>
          <w:b w:val="0"/>
          <w:sz w:val="20"/>
          <w:szCs w:val="20"/>
          <w:lang w:val="en-US"/>
        </w:rPr>
        <w:t xml:space="preserve"> YJ (2010) A novel organophosphorus hydrolase-based</w:t>
      </w:r>
      <w:r w:rsidR="0099655D"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biosensor using mesoporous carbons and carbon black for the detection of organophosphate nerve agents.</w:t>
      </w:r>
      <w:r w:rsidR="0099655D" w:rsidRPr="00314E4C">
        <w:rPr>
          <w:rFonts w:ascii="Times New Roman" w:hAnsi="Times New Roman"/>
          <w:b w:val="0"/>
          <w:sz w:val="20"/>
          <w:szCs w:val="20"/>
          <w:lang w:val="en-US"/>
        </w:rPr>
        <w:t xml:space="preserve"> </w:t>
      </w:r>
      <w:proofErr w:type="spellStart"/>
      <w:r w:rsidRPr="00314E4C">
        <w:rPr>
          <w:rFonts w:ascii="Times New Roman" w:hAnsi="Times New Roman"/>
          <w:b w:val="0"/>
          <w:sz w:val="20"/>
          <w:szCs w:val="20"/>
          <w:lang w:val="en-US"/>
        </w:rPr>
        <w:t>Biosens</w:t>
      </w:r>
      <w:proofErr w:type="spellEnd"/>
      <w:r w:rsidRPr="00314E4C">
        <w:rPr>
          <w:rFonts w:ascii="Times New Roman" w:hAnsi="Times New Roman"/>
          <w:b w:val="0"/>
          <w:sz w:val="20"/>
          <w:szCs w:val="20"/>
          <w:lang w:val="en-US"/>
        </w:rPr>
        <w:t xml:space="preserve"> </w:t>
      </w:r>
      <w:proofErr w:type="spellStart"/>
      <w:r w:rsidRPr="00314E4C">
        <w:rPr>
          <w:rFonts w:ascii="Times New Roman" w:hAnsi="Times New Roman"/>
          <w:b w:val="0"/>
          <w:sz w:val="20"/>
          <w:szCs w:val="20"/>
          <w:lang w:val="en-US"/>
        </w:rPr>
        <w:t>Bioelectron</w:t>
      </w:r>
      <w:proofErr w:type="spellEnd"/>
      <w:r w:rsidRPr="00314E4C">
        <w:rPr>
          <w:rFonts w:ascii="Times New Roman" w:hAnsi="Times New Roman"/>
          <w:b w:val="0"/>
          <w:sz w:val="20"/>
          <w:szCs w:val="20"/>
          <w:lang w:val="en-US"/>
        </w:rPr>
        <w:t xml:space="preserve"> 25:1566–1570</w:t>
      </w:r>
    </w:p>
    <w:p w14:paraId="0DE014AA" w14:textId="35D1DA2B" w:rsidR="009D391E" w:rsidRPr="00314E4C" w:rsidRDefault="009D391E" w:rsidP="009D391E">
      <w:pPr>
        <w:pStyle w:val="RSCB06BHeadingSub-Section"/>
        <w:numPr>
          <w:ilvl w:val="0"/>
          <w:numId w:val="6"/>
        </w:numPr>
        <w:jc w:val="both"/>
        <w:rPr>
          <w:rFonts w:ascii="Times New Roman" w:hAnsi="Times New Roman"/>
          <w:b w:val="0"/>
          <w:sz w:val="20"/>
          <w:szCs w:val="20"/>
          <w:lang w:val="en-US"/>
        </w:rPr>
      </w:pPr>
      <w:proofErr w:type="spellStart"/>
      <w:r w:rsidRPr="00314E4C">
        <w:rPr>
          <w:rFonts w:ascii="Times New Roman" w:hAnsi="Times New Roman"/>
          <w:b w:val="0"/>
          <w:sz w:val="20"/>
          <w:szCs w:val="20"/>
          <w:lang w:val="en-US"/>
        </w:rPr>
        <w:t>Deo</w:t>
      </w:r>
      <w:proofErr w:type="spellEnd"/>
      <w:r w:rsidRPr="00314E4C">
        <w:rPr>
          <w:rFonts w:ascii="Times New Roman" w:hAnsi="Times New Roman"/>
          <w:b w:val="0"/>
          <w:sz w:val="20"/>
          <w:szCs w:val="20"/>
          <w:lang w:val="en-US"/>
        </w:rPr>
        <w:t xml:space="preserve"> RP, Wang J, Block I, </w:t>
      </w:r>
      <w:proofErr w:type="spellStart"/>
      <w:r w:rsidRPr="00314E4C">
        <w:rPr>
          <w:rFonts w:ascii="Times New Roman" w:hAnsi="Times New Roman"/>
          <w:b w:val="0"/>
          <w:sz w:val="20"/>
          <w:szCs w:val="20"/>
          <w:lang w:val="en-US"/>
        </w:rPr>
        <w:t>Mulchandani</w:t>
      </w:r>
      <w:proofErr w:type="spellEnd"/>
      <w:r w:rsidRPr="00314E4C">
        <w:rPr>
          <w:rFonts w:ascii="Times New Roman" w:hAnsi="Times New Roman"/>
          <w:b w:val="0"/>
          <w:sz w:val="20"/>
          <w:szCs w:val="20"/>
          <w:lang w:val="en-US"/>
        </w:rPr>
        <w:t xml:space="preserve"> A, </w:t>
      </w:r>
      <w:proofErr w:type="spellStart"/>
      <w:r w:rsidRPr="00314E4C">
        <w:rPr>
          <w:rFonts w:ascii="Times New Roman" w:hAnsi="Times New Roman"/>
          <w:b w:val="0"/>
          <w:sz w:val="20"/>
          <w:szCs w:val="20"/>
          <w:lang w:val="en-US"/>
        </w:rPr>
        <w:t>Joshic</w:t>
      </w:r>
      <w:proofErr w:type="spellEnd"/>
      <w:r w:rsidRPr="00314E4C">
        <w:rPr>
          <w:rFonts w:ascii="Times New Roman" w:hAnsi="Times New Roman"/>
          <w:b w:val="0"/>
          <w:sz w:val="20"/>
          <w:szCs w:val="20"/>
          <w:lang w:val="en-US"/>
        </w:rPr>
        <w:t xml:space="preserve"> KA, </w:t>
      </w:r>
      <w:proofErr w:type="spellStart"/>
      <w:r w:rsidRPr="00314E4C">
        <w:rPr>
          <w:rFonts w:ascii="Times New Roman" w:hAnsi="Times New Roman"/>
          <w:b w:val="0"/>
          <w:sz w:val="20"/>
          <w:szCs w:val="20"/>
          <w:lang w:val="en-US"/>
        </w:rPr>
        <w:t>Trojanowicz</w:t>
      </w:r>
      <w:proofErr w:type="spellEnd"/>
      <w:r w:rsidRPr="00314E4C">
        <w:rPr>
          <w:rFonts w:ascii="Times New Roman" w:hAnsi="Times New Roman"/>
          <w:b w:val="0"/>
          <w:sz w:val="20"/>
          <w:szCs w:val="20"/>
          <w:lang w:val="en-US"/>
        </w:rPr>
        <w:t xml:space="preserve"> M, </w:t>
      </w:r>
      <w:proofErr w:type="spellStart"/>
      <w:r w:rsidRPr="00314E4C">
        <w:rPr>
          <w:rFonts w:ascii="Times New Roman" w:hAnsi="Times New Roman"/>
          <w:b w:val="0"/>
          <w:sz w:val="20"/>
          <w:szCs w:val="20"/>
          <w:lang w:val="en-US"/>
        </w:rPr>
        <w:t>Scholz</w:t>
      </w:r>
      <w:proofErr w:type="spellEnd"/>
      <w:r w:rsidRPr="00314E4C">
        <w:rPr>
          <w:rFonts w:ascii="Times New Roman" w:hAnsi="Times New Roman"/>
          <w:b w:val="0"/>
          <w:sz w:val="20"/>
          <w:szCs w:val="20"/>
          <w:lang w:val="en-US"/>
        </w:rPr>
        <w:t xml:space="preserve"> F, Chen W, Lin Y (2005)</w:t>
      </w:r>
      <w:r w:rsidR="00467359"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Determination of organophosphate pesticides at a carbon nanotube/organophosphorus hydrolase</w:t>
      </w:r>
      <w:r w:rsidR="00467359"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 xml:space="preserve">electrochemical biosensor. Anal </w:t>
      </w:r>
      <w:proofErr w:type="spellStart"/>
      <w:r w:rsidRPr="00314E4C">
        <w:rPr>
          <w:rFonts w:ascii="Times New Roman" w:hAnsi="Times New Roman"/>
          <w:b w:val="0"/>
          <w:sz w:val="20"/>
          <w:szCs w:val="20"/>
          <w:lang w:val="en-US"/>
        </w:rPr>
        <w:t>Chim</w:t>
      </w:r>
      <w:proofErr w:type="spellEnd"/>
      <w:r w:rsidRPr="00314E4C">
        <w:rPr>
          <w:rFonts w:ascii="Times New Roman" w:hAnsi="Times New Roman"/>
          <w:b w:val="0"/>
          <w:sz w:val="20"/>
          <w:szCs w:val="20"/>
          <w:lang w:val="en-US"/>
        </w:rPr>
        <w:t xml:space="preserve"> </w:t>
      </w:r>
      <w:proofErr w:type="spellStart"/>
      <w:r w:rsidRPr="00314E4C">
        <w:rPr>
          <w:rFonts w:ascii="Times New Roman" w:hAnsi="Times New Roman"/>
          <w:b w:val="0"/>
          <w:sz w:val="20"/>
          <w:szCs w:val="20"/>
          <w:lang w:val="en-US"/>
        </w:rPr>
        <w:t>Acta</w:t>
      </w:r>
      <w:proofErr w:type="spellEnd"/>
      <w:r w:rsidRPr="00314E4C">
        <w:rPr>
          <w:rFonts w:ascii="Times New Roman" w:hAnsi="Times New Roman"/>
          <w:b w:val="0"/>
          <w:sz w:val="20"/>
          <w:szCs w:val="20"/>
          <w:lang w:val="en-US"/>
        </w:rPr>
        <w:t xml:space="preserve"> 530:185-189</w:t>
      </w:r>
    </w:p>
    <w:p w14:paraId="107EC24E" w14:textId="77777777" w:rsidR="00467359" w:rsidRPr="00314E4C" w:rsidRDefault="009D391E" w:rsidP="009D391E">
      <w:pPr>
        <w:pStyle w:val="RSCB06BHeadingSub-Section"/>
        <w:numPr>
          <w:ilvl w:val="0"/>
          <w:numId w:val="6"/>
        </w:numPr>
        <w:jc w:val="both"/>
        <w:rPr>
          <w:rFonts w:ascii="Times New Roman" w:hAnsi="Times New Roman"/>
          <w:b w:val="0"/>
          <w:sz w:val="20"/>
          <w:szCs w:val="20"/>
          <w:lang w:val="en-US"/>
        </w:rPr>
      </w:pPr>
      <w:proofErr w:type="spellStart"/>
      <w:r w:rsidRPr="00314E4C">
        <w:rPr>
          <w:rFonts w:ascii="Times New Roman" w:hAnsi="Times New Roman"/>
          <w:b w:val="0"/>
          <w:sz w:val="20"/>
          <w:szCs w:val="20"/>
          <w:lang w:val="en-US"/>
        </w:rPr>
        <w:t>Laothanachareon</w:t>
      </w:r>
      <w:proofErr w:type="spellEnd"/>
      <w:r w:rsidRPr="00314E4C">
        <w:rPr>
          <w:rFonts w:ascii="Times New Roman" w:hAnsi="Times New Roman"/>
          <w:b w:val="0"/>
          <w:sz w:val="20"/>
          <w:szCs w:val="20"/>
          <w:lang w:val="en-US"/>
        </w:rPr>
        <w:t xml:space="preserve"> T, </w:t>
      </w:r>
      <w:proofErr w:type="spellStart"/>
      <w:r w:rsidRPr="00314E4C">
        <w:rPr>
          <w:rFonts w:ascii="Times New Roman" w:hAnsi="Times New Roman"/>
          <w:b w:val="0"/>
          <w:sz w:val="20"/>
          <w:szCs w:val="20"/>
          <w:lang w:val="en-US"/>
        </w:rPr>
        <w:t>Champreda</w:t>
      </w:r>
      <w:proofErr w:type="spellEnd"/>
      <w:r w:rsidRPr="00314E4C">
        <w:rPr>
          <w:rFonts w:ascii="Times New Roman" w:hAnsi="Times New Roman"/>
          <w:b w:val="0"/>
          <w:sz w:val="20"/>
          <w:szCs w:val="20"/>
          <w:lang w:val="en-US"/>
        </w:rPr>
        <w:t xml:space="preserve"> V, </w:t>
      </w:r>
      <w:proofErr w:type="spellStart"/>
      <w:r w:rsidRPr="00314E4C">
        <w:rPr>
          <w:rFonts w:ascii="Times New Roman" w:hAnsi="Times New Roman"/>
          <w:b w:val="0"/>
          <w:sz w:val="20"/>
          <w:szCs w:val="20"/>
          <w:lang w:val="en-US"/>
        </w:rPr>
        <w:t>Sritongkham</w:t>
      </w:r>
      <w:proofErr w:type="spellEnd"/>
      <w:r w:rsidRPr="00314E4C">
        <w:rPr>
          <w:rFonts w:ascii="Times New Roman" w:hAnsi="Times New Roman"/>
          <w:b w:val="0"/>
          <w:sz w:val="20"/>
          <w:szCs w:val="20"/>
          <w:lang w:val="en-US"/>
        </w:rPr>
        <w:t xml:space="preserve"> P, </w:t>
      </w:r>
      <w:proofErr w:type="spellStart"/>
      <w:r w:rsidRPr="00314E4C">
        <w:rPr>
          <w:rFonts w:ascii="Times New Roman" w:hAnsi="Times New Roman"/>
          <w:b w:val="0"/>
          <w:sz w:val="20"/>
          <w:szCs w:val="20"/>
          <w:lang w:val="en-US"/>
        </w:rPr>
        <w:t>Somasundrum</w:t>
      </w:r>
      <w:proofErr w:type="spellEnd"/>
      <w:r w:rsidRPr="00314E4C">
        <w:rPr>
          <w:rFonts w:ascii="Times New Roman" w:hAnsi="Times New Roman"/>
          <w:b w:val="0"/>
          <w:sz w:val="20"/>
          <w:szCs w:val="20"/>
          <w:lang w:val="en-US"/>
        </w:rPr>
        <w:t xml:space="preserve"> M, </w:t>
      </w:r>
      <w:proofErr w:type="spellStart"/>
      <w:r w:rsidRPr="00314E4C">
        <w:rPr>
          <w:rFonts w:ascii="Times New Roman" w:hAnsi="Times New Roman"/>
          <w:b w:val="0"/>
          <w:sz w:val="20"/>
          <w:szCs w:val="20"/>
          <w:lang w:val="en-US"/>
        </w:rPr>
        <w:t>Surareungchai</w:t>
      </w:r>
      <w:proofErr w:type="spellEnd"/>
      <w:r w:rsidRPr="00314E4C">
        <w:rPr>
          <w:rFonts w:ascii="Times New Roman" w:hAnsi="Times New Roman"/>
          <w:b w:val="0"/>
          <w:sz w:val="20"/>
          <w:szCs w:val="20"/>
          <w:lang w:val="en-US"/>
        </w:rPr>
        <w:t xml:space="preserve"> W (2008) Cross-linked</w:t>
      </w:r>
      <w:r w:rsidR="00467359"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enzyme crystals of organophosphate hydrolase for electrochemical detection of organophosphorus</w:t>
      </w:r>
      <w:r w:rsidR="00467359"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 xml:space="preserve">compounds. World J </w:t>
      </w:r>
      <w:proofErr w:type="spellStart"/>
      <w:r w:rsidRPr="00314E4C">
        <w:rPr>
          <w:rFonts w:ascii="Times New Roman" w:hAnsi="Times New Roman"/>
          <w:b w:val="0"/>
          <w:sz w:val="20"/>
          <w:szCs w:val="20"/>
          <w:lang w:val="en-US"/>
        </w:rPr>
        <w:t>Microbiol</w:t>
      </w:r>
      <w:proofErr w:type="spellEnd"/>
      <w:r w:rsidRPr="00314E4C">
        <w:rPr>
          <w:rFonts w:ascii="Times New Roman" w:hAnsi="Times New Roman"/>
          <w:b w:val="0"/>
          <w:sz w:val="20"/>
          <w:szCs w:val="20"/>
          <w:lang w:val="en-US"/>
        </w:rPr>
        <w:t xml:space="preserve"> </w:t>
      </w:r>
      <w:proofErr w:type="spellStart"/>
      <w:r w:rsidRPr="00314E4C">
        <w:rPr>
          <w:rFonts w:ascii="Times New Roman" w:hAnsi="Times New Roman"/>
          <w:b w:val="0"/>
          <w:sz w:val="20"/>
          <w:szCs w:val="20"/>
          <w:lang w:val="en-US"/>
        </w:rPr>
        <w:t>Biotechnol</w:t>
      </w:r>
      <w:proofErr w:type="spellEnd"/>
      <w:r w:rsidRPr="00314E4C">
        <w:rPr>
          <w:rFonts w:ascii="Times New Roman" w:hAnsi="Times New Roman"/>
          <w:b w:val="0"/>
          <w:sz w:val="20"/>
          <w:szCs w:val="20"/>
          <w:lang w:val="en-US"/>
        </w:rPr>
        <w:t xml:space="preserve"> 24:3049-3055</w:t>
      </w:r>
    </w:p>
    <w:p w14:paraId="1394F4A4" w14:textId="11290B52" w:rsidR="009D391E" w:rsidRPr="00314E4C" w:rsidRDefault="009D391E" w:rsidP="009D391E">
      <w:pPr>
        <w:pStyle w:val="RSCB06BHeadingSub-Section"/>
        <w:numPr>
          <w:ilvl w:val="0"/>
          <w:numId w:val="6"/>
        </w:numPr>
        <w:jc w:val="both"/>
        <w:rPr>
          <w:rFonts w:ascii="Times New Roman" w:hAnsi="Times New Roman"/>
          <w:b w:val="0"/>
          <w:sz w:val="20"/>
          <w:szCs w:val="20"/>
          <w:lang w:val="en-US"/>
        </w:rPr>
      </w:pPr>
      <w:r w:rsidRPr="00314E4C">
        <w:rPr>
          <w:rFonts w:ascii="Times New Roman" w:hAnsi="Times New Roman"/>
          <w:b w:val="0"/>
          <w:sz w:val="20"/>
          <w:szCs w:val="20"/>
          <w:lang w:val="en-US"/>
        </w:rPr>
        <w:t xml:space="preserve">Wang J, Chen L, </w:t>
      </w:r>
      <w:proofErr w:type="spellStart"/>
      <w:r w:rsidRPr="00314E4C">
        <w:rPr>
          <w:rFonts w:ascii="Times New Roman" w:hAnsi="Times New Roman"/>
          <w:b w:val="0"/>
          <w:sz w:val="20"/>
          <w:szCs w:val="20"/>
          <w:lang w:val="en-US"/>
        </w:rPr>
        <w:t>Mulchandani</w:t>
      </w:r>
      <w:proofErr w:type="spellEnd"/>
      <w:r w:rsidRPr="00314E4C">
        <w:rPr>
          <w:rFonts w:ascii="Times New Roman" w:hAnsi="Times New Roman"/>
          <w:b w:val="0"/>
          <w:sz w:val="20"/>
          <w:szCs w:val="20"/>
          <w:lang w:val="en-US"/>
        </w:rPr>
        <w:t xml:space="preserve"> A, </w:t>
      </w:r>
      <w:proofErr w:type="spellStart"/>
      <w:r w:rsidRPr="00314E4C">
        <w:rPr>
          <w:rFonts w:ascii="Times New Roman" w:hAnsi="Times New Roman"/>
          <w:b w:val="0"/>
          <w:sz w:val="20"/>
          <w:szCs w:val="20"/>
          <w:lang w:val="en-US"/>
        </w:rPr>
        <w:t>Mulchandani</w:t>
      </w:r>
      <w:proofErr w:type="spellEnd"/>
      <w:r w:rsidRPr="00314E4C">
        <w:rPr>
          <w:rFonts w:ascii="Times New Roman" w:hAnsi="Times New Roman"/>
          <w:b w:val="0"/>
          <w:sz w:val="20"/>
          <w:szCs w:val="20"/>
          <w:lang w:val="en-US"/>
        </w:rPr>
        <w:t xml:space="preserve"> P, Chen W (199</w:t>
      </w:r>
      <w:r w:rsidR="00467359" w:rsidRPr="00314E4C">
        <w:rPr>
          <w:rFonts w:ascii="Times New Roman" w:hAnsi="Times New Roman"/>
          <w:b w:val="0"/>
          <w:sz w:val="20"/>
          <w:szCs w:val="20"/>
          <w:lang w:val="en-US"/>
        </w:rPr>
        <w:t xml:space="preserve">9) Remote biosensor for in-situ </w:t>
      </w:r>
      <w:r w:rsidRPr="00314E4C">
        <w:rPr>
          <w:rFonts w:ascii="Times New Roman" w:hAnsi="Times New Roman"/>
          <w:b w:val="0"/>
          <w:sz w:val="20"/>
          <w:szCs w:val="20"/>
          <w:lang w:val="en-US"/>
        </w:rPr>
        <w:t>monitoring</w:t>
      </w:r>
      <w:r w:rsidR="00467359" w:rsidRPr="00314E4C">
        <w:rPr>
          <w:rFonts w:ascii="Times New Roman" w:hAnsi="Times New Roman"/>
          <w:b w:val="0"/>
          <w:sz w:val="20"/>
          <w:szCs w:val="20"/>
          <w:lang w:val="en-US"/>
        </w:rPr>
        <w:t xml:space="preserve"> </w:t>
      </w:r>
      <w:r w:rsidRPr="00314E4C">
        <w:rPr>
          <w:rFonts w:ascii="Times New Roman" w:hAnsi="Times New Roman"/>
          <w:b w:val="0"/>
          <w:sz w:val="20"/>
          <w:szCs w:val="20"/>
          <w:lang w:val="en-US"/>
        </w:rPr>
        <w:t>of organophosphate nerve agents. Electroanalysis 11:866-869</w:t>
      </w:r>
    </w:p>
    <w:p w14:paraId="084A4D33" w14:textId="15203F4C" w:rsidR="002927C2" w:rsidRPr="00314E4C" w:rsidRDefault="002927C2" w:rsidP="00747134">
      <w:pPr>
        <w:pStyle w:val="RSCB06BHeadingSub-Section"/>
        <w:ind w:left="360"/>
        <w:jc w:val="both"/>
        <w:rPr>
          <w:rFonts w:ascii="Times New Roman" w:hAnsi="Times New Roman"/>
          <w:b w:val="0"/>
          <w:sz w:val="20"/>
          <w:szCs w:val="20"/>
          <w:lang w:val="en-US"/>
        </w:rPr>
      </w:pPr>
    </w:p>
    <w:sectPr w:rsidR="002927C2" w:rsidRPr="00314E4C">
      <w:footnotePr>
        <w:numFmt w:val="chicago"/>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83584D" w14:textId="77777777" w:rsidR="008742B6" w:rsidRDefault="008742B6" w:rsidP="005804C1">
      <w:pPr>
        <w:spacing w:after="0" w:line="240" w:lineRule="auto"/>
      </w:pPr>
      <w:r>
        <w:separator/>
      </w:r>
    </w:p>
  </w:endnote>
  <w:endnote w:type="continuationSeparator" w:id="0">
    <w:p w14:paraId="7C7AF690" w14:textId="77777777" w:rsidR="008742B6" w:rsidRDefault="008742B6" w:rsidP="00580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873A0" w14:textId="77777777" w:rsidR="008742B6" w:rsidRDefault="008742B6" w:rsidP="005804C1">
      <w:pPr>
        <w:spacing w:after="0" w:line="240" w:lineRule="auto"/>
      </w:pPr>
      <w:r>
        <w:separator/>
      </w:r>
    </w:p>
  </w:footnote>
  <w:footnote w:type="continuationSeparator" w:id="0">
    <w:p w14:paraId="30E19BC8" w14:textId="77777777" w:rsidR="008742B6" w:rsidRDefault="008742B6" w:rsidP="005804C1">
      <w:pPr>
        <w:spacing w:after="0" w:line="240" w:lineRule="auto"/>
      </w:pPr>
      <w:r>
        <w:continuationSeparator/>
      </w:r>
    </w:p>
  </w:footnote>
  <w:footnote w:id="1">
    <w:p w14:paraId="41717E0E" w14:textId="31F997BC" w:rsidR="005804C1" w:rsidRPr="005804C1" w:rsidRDefault="005804C1">
      <w:pPr>
        <w:pStyle w:val="FootnoteText"/>
        <w:rPr>
          <w:rFonts w:ascii="Times New Roman" w:hAnsi="Times New Roman" w:cs="Times New Roman"/>
        </w:rPr>
      </w:pPr>
      <w:r w:rsidRPr="005804C1">
        <w:rPr>
          <w:rStyle w:val="FootnoteReference"/>
          <w:rFonts w:ascii="Times New Roman" w:hAnsi="Times New Roman" w:cs="Times New Roman"/>
        </w:rPr>
        <w:footnoteRef/>
      </w:r>
      <w:r w:rsidRPr="005804C1">
        <w:rPr>
          <w:rFonts w:ascii="Times New Roman" w:hAnsi="Times New Roman" w:cs="Times New Roman"/>
        </w:rPr>
        <w:t xml:space="preserve"> Margarita Stoytcheva: margarita.stoytcheva@uabc.edu.mx</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5683C"/>
    <w:multiLevelType w:val="hybridMultilevel"/>
    <w:tmpl w:val="BF387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212276"/>
    <w:multiLevelType w:val="hybridMultilevel"/>
    <w:tmpl w:val="88406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4B25BE"/>
    <w:multiLevelType w:val="multilevel"/>
    <w:tmpl w:val="2F46E4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62860169"/>
    <w:multiLevelType w:val="hybridMultilevel"/>
    <w:tmpl w:val="AEE62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552A95"/>
    <w:multiLevelType w:val="hybridMultilevel"/>
    <w:tmpl w:val="D96CB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CF46561"/>
    <w:multiLevelType w:val="hybridMultilevel"/>
    <w:tmpl w:val="A18E6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7C"/>
    <w:rsid w:val="00000735"/>
    <w:rsid w:val="000063A9"/>
    <w:rsid w:val="000127DD"/>
    <w:rsid w:val="00013F87"/>
    <w:rsid w:val="0001516D"/>
    <w:rsid w:val="000153EB"/>
    <w:rsid w:val="00016739"/>
    <w:rsid w:val="00016A7E"/>
    <w:rsid w:val="0002366B"/>
    <w:rsid w:val="0002454A"/>
    <w:rsid w:val="000367B9"/>
    <w:rsid w:val="00041672"/>
    <w:rsid w:val="000435B3"/>
    <w:rsid w:val="00044AC5"/>
    <w:rsid w:val="00050BBE"/>
    <w:rsid w:val="000539C1"/>
    <w:rsid w:val="00055DBC"/>
    <w:rsid w:val="00063A34"/>
    <w:rsid w:val="000672F2"/>
    <w:rsid w:val="00075F18"/>
    <w:rsid w:val="00077BC7"/>
    <w:rsid w:val="00086AAD"/>
    <w:rsid w:val="00090CE0"/>
    <w:rsid w:val="0009175D"/>
    <w:rsid w:val="0009330E"/>
    <w:rsid w:val="000955FC"/>
    <w:rsid w:val="000B0908"/>
    <w:rsid w:val="000B19DE"/>
    <w:rsid w:val="000B3563"/>
    <w:rsid w:val="000B759A"/>
    <w:rsid w:val="000C416A"/>
    <w:rsid w:val="000D53E5"/>
    <w:rsid w:val="000D612F"/>
    <w:rsid w:val="000E6F6B"/>
    <w:rsid w:val="000F2027"/>
    <w:rsid w:val="001020DC"/>
    <w:rsid w:val="00104C7A"/>
    <w:rsid w:val="00116532"/>
    <w:rsid w:val="00122D16"/>
    <w:rsid w:val="001278FB"/>
    <w:rsid w:val="0014049E"/>
    <w:rsid w:val="00141BEA"/>
    <w:rsid w:val="00150927"/>
    <w:rsid w:val="00156013"/>
    <w:rsid w:val="0016420F"/>
    <w:rsid w:val="001643E3"/>
    <w:rsid w:val="00167EFC"/>
    <w:rsid w:val="001704B0"/>
    <w:rsid w:val="00173186"/>
    <w:rsid w:val="00173866"/>
    <w:rsid w:val="00176462"/>
    <w:rsid w:val="00182980"/>
    <w:rsid w:val="00182D8C"/>
    <w:rsid w:val="00183E72"/>
    <w:rsid w:val="00184A28"/>
    <w:rsid w:val="001913B1"/>
    <w:rsid w:val="001A36CD"/>
    <w:rsid w:val="001A6887"/>
    <w:rsid w:val="001C221F"/>
    <w:rsid w:val="001C3369"/>
    <w:rsid w:val="001C3D6F"/>
    <w:rsid w:val="001D26EC"/>
    <w:rsid w:val="001E58F1"/>
    <w:rsid w:val="001F5019"/>
    <w:rsid w:val="00200744"/>
    <w:rsid w:val="0020323E"/>
    <w:rsid w:val="0020563F"/>
    <w:rsid w:val="00207092"/>
    <w:rsid w:val="0020794F"/>
    <w:rsid w:val="00210752"/>
    <w:rsid w:val="00214CC5"/>
    <w:rsid w:val="002203D3"/>
    <w:rsid w:val="00225349"/>
    <w:rsid w:val="00225957"/>
    <w:rsid w:val="002264B0"/>
    <w:rsid w:val="00236CFD"/>
    <w:rsid w:val="00241BED"/>
    <w:rsid w:val="002434BC"/>
    <w:rsid w:val="00243CDA"/>
    <w:rsid w:val="002464B3"/>
    <w:rsid w:val="00246B50"/>
    <w:rsid w:val="002505A5"/>
    <w:rsid w:val="0025344C"/>
    <w:rsid w:val="002535BA"/>
    <w:rsid w:val="00265F65"/>
    <w:rsid w:val="00271DE6"/>
    <w:rsid w:val="0027573F"/>
    <w:rsid w:val="0028258F"/>
    <w:rsid w:val="002845CD"/>
    <w:rsid w:val="00287C03"/>
    <w:rsid w:val="002927C2"/>
    <w:rsid w:val="002945DC"/>
    <w:rsid w:val="002A1889"/>
    <w:rsid w:val="002A25AA"/>
    <w:rsid w:val="002B57A5"/>
    <w:rsid w:val="002C26EC"/>
    <w:rsid w:val="002C6368"/>
    <w:rsid w:val="002C6E4A"/>
    <w:rsid w:val="002D43BC"/>
    <w:rsid w:val="002D687C"/>
    <w:rsid w:val="002E5756"/>
    <w:rsid w:val="002E7C5E"/>
    <w:rsid w:val="002F70DA"/>
    <w:rsid w:val="003007F5"/>
    <w:rsid w:val="00314E4C"/>
    <w:rsid w:val="0031598A"/>
    <w:rsid w:val="0031684C"/>
    <w:rsid w:val="00322ADA"/>
    <w:rsid w:val="00322DBF"/>
    <w:rsid w:val="0032324F"/>
    <w:rsid w:val="0032599B"/>
    <w:rsid w:val="0032750E"/>
    <w:rsid w:val="003344F9"/>
    <w:rsid w:val="00336033"/>
    <w:rsid w:val="00336E4F"/>
    <w:rsid w:val="003405C0"/>
    <w:rsid w:val="0034535C"/>
    <w:rsid w:val="00345393"/>
    <w:rsid w:val="00351494"/>
    <w:rsid w:val="0035244D"/>
    <w:rsid w:val="00353F61"/>
    <w:rsid w:val="0036596C"/>
    <w:rsid w:val="003706EE"/>
    <w:rsid w:val="00370778"/>
    <w:rsid w:val="00370CC6"/>
    <w:rsid w:val="00373774"/>
    <w:rsid w:val="00374EC4"/>
    <w:rsid w:val="003779DF"/>
    <w:rsid w:val="00384356"/>
    <w:rsid w:val="00384A36"/>
    <w:rsid w:val="00392CEB"/>
    <w:rsid w:val="00394568"/>
    <w:rsid w:val="003947A5"/>
    <w:rsid w:val="0039706C"/>
    <w:rsid w:val="003A2B78"/>
    <w:rsid w:val="003B0CB6"/>
    <w:rsid w:val="003B150C"/>
    <w:rsid w:val="003B23CD"/>
    <w:rsid w:val="003B51FD"/>
    <w:rsid w:val="003B7CD1"/>
    <w:rsid w:val="003C5E70"/>
    <w:rsid w:val="003D1418"/>
    <w:rsid w:val="003D2C1C"/>
    <w:rsid w:val="003E6BEE"/>
    <w:rsid w:val="003F0CBB"/>
    <w:rsid w:val="003F1863"/>
    <w:rsid w:val="003F41C7"/>
    <w:rsid w:val="003F583D"/>
    <w:rsid w:val="003F79FC"/>
    <w:rsid w:val="00401AE6"/>
    <w:rsid w:val="00403DDE"/>
    <w:rsid w:val="0041302C"/>
    <w:rsid w:val="00414610"/>
    <w:rsid w:val="00414C23"/>
    <w:rsid w:val="0041549B"/>
    <w:rsid w:val="004157FE"/>
    <w:rsid w:val="00420E63"/>
    <w:rsid w:val="00423AF2"/>
    <w:rsid w:val="00423C3A"/>
    <w:rsid w:val="0043145E"/>
    <w:rsid w:val="004335F0"/>
    <w:rsid w:val="0043522F"/>
    <w:rsid w:val="00437444"/>
    <w:rsid w:val="004410C3"/>
    <w:rsid w:val="00441849"/>
    <w:rsid w:val="00447A7A"/>
    <w:rsid w:val="00454F8A"/>
    <w:rsid w:val="004642CF"/>
    <w:rsid w:val="004662BE"/>
    <w:rsid w:val="00467359"/>
    <w:rsid w:val="00470584"/>
    <w:rsid w:val="00476CD6"/>
    <w:rsid w:val="00477B14"/>
    <w:rsid w:val="00485A4E"/>
    <w:rsid w:val="00485CA9"/>
    <w:rsid w:val="00486027"/>
    <w:rsid w:val="00486CF3"/>
    <w:rsid w:val="00496B43"/>
    <w:rsid w:val="00497079"/>
    <w:rsid w:val="004A1CF3"/>
    <w:rsid w:val="004A2F42"/>
    <w:rsid w:val="004A4E0C"/>
    <w:rsid w:val="004A69EF"/>
    <w:rsid w:val="004B440C"/>
    <w:rsid w:val="004B4FDC"/>
    <w:rsid w:val="004C11D7"/>
    <w:rsid w:val="004C7E19"/>
    <w:rsid w:val="004D16D5"/>
    <w:rsid w:val="004D1DB3"/>
    <w:rsid w:val="004D4353"/>
    <w:rsid w:val="004D7CB2"/>
    <w:rsid w:val="004E7D84"/>
    <w:rsid w:val="004F62C1"/>
    <w:rsid w:val="00501CF4"/>
    <w:rsid w:val="00502949"/>
    <w:rsid w:val="005134C4"/>
    <w:rsid w:val="00520559"/>
    <w:rsid w:val="0052360A"/>
    <w:rsid w:val="005244F4"/>
    <w:rsid w:val="00526E76"/>
    <w:rsid w:val="00531DFD"/>
    <w:rsid w:val="00533603"/>
    <w:rsid w:val="00533742"/>
    <w:rsid w:val="00533E4F"/>
    <w:rsid w:val="0053456B"/>
    <w:rsid w:val="00534830"/>
    <w:rsid w:val="00535D64"/>
    <w:rsid w:val="00537946"/>
    <w:rsid w:val="0054138B"/>
    <w:rsid w:val="00541F4F"/>
    <w:rsid w:val="00542E46"/>
    <w:rsid w:val="0055139F"/>
    <w:rsid w:val="00555C14"/>
    <w:rsid w:val="00556EF7"/>
    <w:rsid w:val="0056265C"/>
    <w:rsid w:val="00567981"/>
    <w:rsid w:val="0057196E"/>
    <w:rsid w:val="00576F9A"/>
    <w:rsid w:val="005772C1"/>
    <w:rsid w:val="005804C1"/>
    <w:rsid w:val="0058359B"/>
    <w:rsid w:val="005842F3"/>
    <w:rsid w:val="00587950"/>
    <w:rsid w:val="005927DD"/>
    <w:rsid w:val="00595F95"/>
    <w:rsid w:val="0059638A"/>
    <w:rsid w:val="005A67B2"/>
    <w:rsid w:val="005B5FD4"/>
    <w:rsid w:val="005B6E1A"/>
    <w:rsid w:val="005C05C5"/>
    <w:rsid w:val="005C0D12"/>
    <w:rsid w:val="005C0D3B"/>
    <w:rsid w:val="005C5F43"/>
    <w:rsid w:val="005D305A"/>
    <w:rsid w:val="005D3C10"/>
    <w:rsid w:val="005D7BD4"/>
    <w:rsid w:val="005E69A0"/>
    <w:rsid w:val="005E7564"/>
    <w:rsid w:val="005F171A"/>
    <w:rsid w:val="005F4F25"/>
    <w:rsid w:val="005F7E1C"/>
    <w:rsid w:val="00603186"/>
    <w:rsid w:val="006068EF"/>
    <w:rsid w:val="00607F14"/>
    <w:rsid w:val="00612413"/>
    <w:rsid w:val="006141F4"/>
    <w:rsid w:val="00621F02"/>
    <w:rsid w:val="00622E4B"/>
    <w:rsid w:val="00630594"/>
    <w:rsid w:val="00633D7C"/>
    <w:rsid w:val="00633DC9"/>
    <w:rsid w:val="006344A6"/>
    <w:rsid w:val="006358EB"/>
    <w:rsid w:val="00640117"/>
    <w:rsid w:val="006410F8"/>
    <w:rsid w:val="00643C36"/>
    <w:rsid w:val="00651C94"/>
    <w:rsid w:val="00652CDB"/>
    <w:rsid w:val="00652F61"/>
    <w:rsid w:val="00653A9D"/>
    <w:rsid w:val="00655790"/>
    <w:rsid w:val="006603D8"/>
    <w:rsid w:val="0066085A"/>
    <w:rsid w:val="006616C5"/>
    <w:rsid w:val="00662196"/>
    <w:rsid w:val="006705F9"/>
    <w:rsid w:val="006729AB"/>
    <w:rsid w:val="006773A3"/>
    <w:rsid w:val="00683274"/>
    <w:rsid w:val="00687D36"/>
    <w:rsid w:val="00690ADF"/>
    <w:rsid w:val="00690BE9"/>
    <w:rsid w:val="00691A25"/>
    <w:rsid w:val="006966A7"/>
    <w:rsid w:val="006A1A32"/>
    <w:rsid w:val="006A1ABE"/>
    <w:rsid w:val="006B32EB"/>
    <w:rsid w:val="006B7DC1"/>
    <w:rsid w:val="006C0737"/>
    <w:rsid w:val="006C1AA8"/>
    <w:rsid w:val="006C3F67"/>
    <w:rsid w:val="006C438F"/>
    <w:rsid w:val="006C5D61"/>
    <w:rsid w:val="006C613A"/>
    <w:rsid w:val="006C734F"/>
    <w:rsid w:val="006D18E5"/>
    <w:rsid w:val="006E49F4"/>
    <w:rsid w:val="006E7A58"/>
    <w:rsid w:val="006F2DBF"/>
    <w:rsid w:val="006F62AE"/>
    <w:rsid w:val="006F65EC"/>
    <w:rsid w:val="007004CF"/>
    <w:rsid w:val="00704F3F"/>
    <w:rsid w:val="00705A6B"/>
    <w:rsid w:val="0071097D"/>
    <w:rsid w:val="007134CB"/>
    <w:rsid w:val="0071654E"/>
    <w:rsid w:val="00717ADC"/>
    <w:rsid w:val="00722555"/>
    <w:rsid w:val="0072256E"/>
    <w:rsid w:val="00724270"/>
    <w:rsid w:val="007269AC"/>
    <w:rsid w:val="00727531"/>
    <w:rsid w:val="00733E35"/>
    <w:rsid w:val="00734845"/>
    <w:rsid w:val="00737F37"/>
    <w:rsid w:val="007425B1"/>
    <w:rsid w:val="007447B0"/>
    <w:rsid w:val="00745DD7"/>
    <w:rsid w:val="00747134"/>
    <w:rsid w:val="007519A1"/>
    <w:rsid w:val="00753C77"/>
    <w:rsid w:val="00756B79"/>
    <w:rsid w:val="00756D87"/>
    <w:rsid w:val="00761B72"/>
    <w:rsid w:val="00771871"/>
    <w:rsid w:val="00772A31"/>
    <w:rsid w:val="00781521"/>
    <w:rsid w:val="00782070"/>
    <w:rsid w:val="007836ED"/>
    <w:rsid w:val="007862EB"/>
    <w:rsid w:val="007940F0"/>
    <w:rsid w:val="007A00C2"/>
    <w:rsid w:val="007B353F"/>
    <w:rsid w:val="007B6DFE"/>
    <w:rsid w:val="007C434B"/>
    <w:rsid w:val="007C6B55"/>
    <w:rsid w:val="007D13CC"/>
    <w:rsid w:val="007D305A"/>
    <w:rsid w:val="007E0990"/>
    <w:rsid w:val="007E494C"/>
    <w:rsid w:val="007F281C"/>
    <w:rsid w:val="007F44DE"/>
    <w:rsid w:val="007F7F4C"/>
    <w:rsid w:val="0080707B"/>
    <w:rsid w:val="00826C4D"/>
    <w:rsid w:val="008377E0"/>
    <w:rsid w:val="00841E33"/>
    <w:rsid w:val="0084343E"/>
    <w:rsid w:val="008459F8"/>
    <w:rsid w:val="00864FA6"/>
    <w:rsid w:val="008742B6"/>
    <w:rsid w:val="00877E3C"/>
    <w:rsid w:val="00880CC4"/>
    <w:rsid w:val="0088246A"/>
    <w:rsid w:val="00891CD6"/>
    <w:rsid w:val="00892213"/>
    <w:rsid w:val="008A06BE"/>
    <w:rsid w:val="008A06FD"/>
    <w:rsid w:val="008A0F0B"/>
    <w:rsid w:val="008A2D4A"/>
    <w:rsid w:val="008A3CCD"/>
    <w:rsid w:val="008A4463"/>
    <w:rsid w:val="008A4FAD"/>
    <w:rsid w:val="008B12C2"/>
    <w:rsid w:val="008B6742"/>
    <w:rsid w:val="008C23C1"/>
    <w:rsid w:val="008C76D3"/>
    <w:rsid w:val="008C76F9"/>
    <w:rsid w:val="008C7AFD"/>
    <w:rsid w:val="008D1FD0"/>
    <w:rsid w:val="008D2090"/>
    <w:rsid w:val="008D3820"/>
    <w:rsid w:val="008D6B13"/>
    <w:rsid w:val="008E0C78"/>
    <w:rsid w:val="008F0B12"/>
    <w:rsid w:val="008F1928"/>
    <w:rsid w:val="00905DCC"/>
    <w:rsid w:val="00906358"/>
    <w:rsid w:val="00906BB0"/>
    <w:rsid w:val="00914209"/>
    <w:rsid w:val="00921A5E"/>
    <w:rsid w:val="009222B2"/>
    <w:rsid w:val="0093267F"/>
    <w:rsid w:val="00936DFC"/>
    <w:rsid w:val="00940455"/>
    <w:rsid w:val="009428AF"/>
    <w:rsid w:val="009430E4"/>
    <w:rsid w:val="009432A7"/>
    <w:rsid w:val="00946651"/>
    <w:rsid w:val="00951F57"/>
    <w:rsid w:val="00956519"/>
    <w:rsid w:val="009578D1"/>
    <w:rsid w:val="00963603"/>
    <w:rsid w:val="00963F2D"/>
    <w:rsid w:val="00966CC7"/>
    <w:rsid w:val="00966D4B"/>
    <w:rsid w:val="00971B37"/>
    <w:rsid w:val="00984A9E"/>
    <w:rsid w:val="00987FFB"/>
    <w:rsid w:val="009927FB"/>
    <w:rsid w:val="00992A0A"/>
    <w:rsid w:val="0099655D"/>
    <w:rsid w:val="00997AF1"/>
    <w:rsid w:val="009A2756"/>
    <w:rsid w:val="009A3359"/>
    <w:rsid w:val="009A7099"/>
    <w:rsid w:val="009A7612"/>
    <w:rsid w:val="009B2F6A"/>
    <w:rsid w:val="009B3424"/>
    <w:rsid w:val="009D391E"/>
    <w:rsid w:val="009D4E61"/>
    <w:rsid w:val="009D7A76"/>
    <w:rsid w:val="009F269F"/>
    <w:rsid w:val="009F3653"/>
    <w:rsid w:val="009F5AED"/>
    <w:rsid w:val="009F65C2"/>
    <w:rsid w:val="00A0561C"/>
    <w:rsid w:val="00A33464"/>
    <w:rsid w:val="00A36259"/>
    <w:rsid w:val="00A43B68"/>
    <w:rsid w:val="00A54ACC"/>
    <w:rsid w:val="00A62953"/>
    <w:rsid w:val="00A62D53"/>
    <w:rsid w:val="00A7022C"/>
    <w:rsid w:val="00A72121"/>
    <w:rsid w:val="00A84467"/>
    <w:rsid w:val="00A86C79"/>
    <w:rsid w:val="00A91769"/>
    <w:rsid w:val="00A9242B"/>
    <w:rsid w:val="00A972AF"/>
    <w:rsid w:val="00AA7FF7"/>
    <w:rsid w:val="00AB56DD"/>
    <w:rsid w:val="00AB6FFA"/>
    <w:rsid w:val="00AC25A0"/>
    <w:rsid w:val="00AC4694"/>
    <w:rsid w:val="00AC7FB6"/>
    <w:rsid w:val="00AD0D4B"/>
    <w:rsid w:val="00AD1774"/>
    <w:rsid w:val="00AD310A"/>
    <w:rsid w:val="00AD5222"/>
    <w:rsid w:val="00AD5667"/>
    <w:rsid w:val="00AD6671"/>
    <w:rsid w:val="00AD6EF6"/>
    <w:rsid w:val="00AF1D56"/>
    <w:rsid w:val="00B06540"/>
    <w:rsid w:val="00B07AA4"/>
    <w:rsid w:val="00B10991"/>
    <w:rsid w:val="00B10E43"/>
    <w:rsid w:val="00B11113"/>
    <w:rsid w:val="00B16434"/>
    <w:rsid w:val="00B16CCD"/>
    <w:rsid w:val="00B221C0"/>
    <w:rsid w:val="00B32857"/>
    <w:rsid w:val="00B33D03"/>
    <w:rsid w:val="00B37730"/>
    <w:rsid w:val="00B44864"/>
    <w:rsid w:val="00B44D60"/>
    <w:rsid w:val="00B45603"/>
    <w:rsid w:val="00B50637"/>
    <w:rsid w:val="00B557D5"/>
    <w:rsid w:val="00B614AC"/>
    <w:rsid w:val="00B6453F"/>
    <w:rsid w:val="00B64A1B"/>
    <w:rsid w:val="00B719FA"/>
    <w:rsid w:val="00B759EB"/>
    <w:rsid w:val="00B828F0"/>
    <w:rsid w:val="00B878C1"/>
    <w:rsid w:val="00BA0CB7"/>
    <w:rsid w:val="00BA322A"/>
    <w:rsid w:val="00BA32B4"/>
    <w:rsid w:val="00BA64E0"/>
    <w:rsid w:val="00BB0138"/>
    <w:rsid w:val="00BB0687"/>
    <w:rsid w:val="00BB495B"/>
    <w:rsid w:val="00BC29AA"/>
    <w:rsid w:val="00BC63C3"/>
    <w:rsid w:val="00BC6839"/>
    <w:rsid w:val="00BD0D12"/>
    <w:rsid w:val="00BD2E56"/>
    <w:rsid w:val="00BD66BA"/>
    <w:rsid w:val="00BE3252"/>
    <w:rsid w:val="00BE76A8"/>
    <w:rsid w:val="00BF3E7B"/>
    <w:rsid w:val="00C0725D"/>
    <w:rsid w:val="00C115B2"/>
    <w:rsid w:val="00C11D6F"/>
    <w:rsid w:val="00C23783"/>
    <w:rsid w:val="00C237D7"/>
    <w:rsid w:val="00C27922"/>
    <w:rsid w:val="00C300F0"/>
    <w:rsid w:val="00C33249"/>
    <w:rsid w:val="00C35319"/>
    <w:rsid w:val="00C60433"/>
    <w:rsid w:val="00C62C3B"/>
    <w:rsid w:val="00C641AE"/>
    <w:rsid w:val="00C7619A"/>
    <w:rsid w:val="00C77898"/>
    <w:rsid w:val="00C823C1"/>
    <w:rsid w:val="00C87D3F"/>
    <w:rsid w:val="00CA3D4E"/>
    <w:rsid w:val="00CB0706"/>
    <w:rsid w:val="00CC25B0"/>
    <w:rsid w:val="00CC3F78"/>
    <w:rsid w:val="00CD1D29"/>
    <w:rsid w:val="00CD30B3"/>
    <w:rsid w:val="00CD71D2"/>
    <w:rsid w:val="00CE12D2"/>
    <w:rsid w:val="00CE645B"/>
    <w:rsid w:val="00CF2F22"/>
    <w:rsid w:val="00CF393F"/>
    <w:rsid w:val="00D062A6"/>
    <w:rsid w:val="00D104BC"/>
    <w:rsid w:val="00D10DA9"/>
    <w:rsid w:val="00D16765"/>
    <w:rsid w:val="00D17502"/>
    <w:rsid w:val="00D22269"/>
    <w:rsid w:val="00D27948"/>
    <w:rsid w:val="00D27C56"/>
    <w:rsid w:val="00D321E4"/>
    <w:rsid w:val="00D42E72"/>
    <w:rsid w:val="00D45863"/>
    <w:rsid w:val="00D51FA4"/>
    <w:rsid w:val="00D5249A"/>
    <w:rsid w:val="00D535AE"/>
    <w:rsid w:val="00D60C6C"/>
    <w:rsid w:val="00D81D64"/>
    <w:rsid w:val="00D857E3"/>
    <w:rsid w:val="00D954FF"/>
    <w:rsid w:val="00D95685"/>
    <w:rsid w:val="00D962D4"/>
    <w:rsid w:val="00D97A95"/>
    <w:rsid w:val="00DA1353"/>
    <w:rsid w:val="00DB13A6"/>
    <w:rsid w:val="00DB37F0"/>
    <w:rsid w:val="00DB4AC6"/>
    <w:rsid w:val="00DB5B66"/>
    <w:rsid w:val="00DB6FC9"/>
    <w:rsid w:val="00DB78BB"/>
    <w:rsid w:val="00DB7D71"/>
    <w:rsid w:val="00DB7D75"/>
    <w:rsid w:val="00DD7CFF"/>
    <w:rsid w:val="00DE372C"/>
    <w:rsid w:val="00DE580E"/>
    <w:rsid w:val="00DE79F0"/>
    <w:rsid w:val="00DF4499"/>
    <w:rsid w:val="00DF68DC"/>
    <w:rsid w:val="00DF6DDC"/>
    <w:rsid w:val="00E00212"/>
    <w:rsid w:val="00E02E4E"/>
    <w:rsid w:val="00E10BEF"/>
    <w:rsid w:val="00E17E3A"/>
    <w:rsid w:val="00E20470"/>
    <w:rsid w:val="00E23980"/>
    <w:rsid w:val="00E23D72"/>
    <w:rsid w:val="00E334AE"/>
    <w:rsid w:val="00E338D6"/>
    <w:rsid w:val="00E42F85"/>
    <w:rsid w:val="00E4311F"/>
    <w:rsid w:val="00E44E54"/>
    <w:rsid w:val="00E47309"/>
    <w:rsid w:val="00E63564"/>
    <w:rsid w:val="00E777D0"/>
    <w:rsid w:val="00E81713"/>
    <w:rsid w:val="00E81876"/>
    <w:rsid w:val="00E848DA"/>
    <w:rsid w:val="00E86B1E"/>
    <w:rsid w:val="00E9017F"/>
    <w:rsid w:val="00E91AEA"/>
    <w:rsid w:val="00E92567"/>
    <w:rsid w:val="00EA2B83"/>
    <w:rsid w:val="00EA331B"/>
    <w:rsid w:val="00EA38B7"/>
    <w:rsid w:val="00EB62D5"/>
    <w:rsid w:val="00EB658E"/>
    <w:rsid w:val="00EC1735"/>
    <w:rsid w:val="00EC25CF"/>
    <w:rsid w:val="00EC3536"/>
    <w:rsid w:val="00EC54D7"/>
    <w:rsid w:val="00EC58F7"/>
    <w:rsid w:val="00EC5D8E"/>
    <w:rsid w:val="00ED66B0"/>
    <w:rsid w:val="00EE2317"/>
    <w:rsid w:val="00EE29EB"/>
    <w:rsid w:val="00EE3F7F"/>
    <w:rsid w:val="00EE51DE"/>
    <w:rsid w:val="00EE5C91"/>
    <w:rsid w:val="00EE5F32"/>
    <w:rsid w:val="00EF14BF"/>
    <w:rsid w:val="00EF5144"/>
    <w:rsid w:val="00EF7229"/>
    <w:rsid w:val="00F00E43"/>
    <w:rsid w:val="00F066AE"/>
    <w:rsid w:val="00F07408"/>
    <w:rsid w:val="00F10FDF"/>
    <w:rsid w:val="00F1744C"/>
    <w:rsid w:val="00F20B51"/>
    <w:rsid w:val="00F30E36"/>
    <w:rsid w:val="00F3274D"/>
    <w:rsid w:val="00F368DD"/>
    <w:rsid w:val="00F41F86"/>
    <w:rsid w:val="00F44F0F"/>
    <w:rsid w:val="00F534E5"/>
    <w:rsid w:val="00F5440D"/>
    <w:rsid w:val="00F62ED6"/>
    <w:rsid w:val="00F72433"/>
    <w:rsid w:val="00F7245E"/>
    <w:rsid w:val="00F73050"/>
    <w:rsid w:val="00F740C9"/>
    <w:rsid w:val="00F75FDA"/>
    <w:rsid w:val="00F83451"/>
    <w:rsid w:val="00F8364E"/>
    <w:rsid w:val="00F8471E"/>
    <w:rsid w:val="00F865E7"/>
    <w:rsid w:val="00F876DA"/>
    <w:rsid w:val="00F959DA"/>
    <w:rsid w:val="00FA35E2"/>
    <w:rsid w:val="00FA4410"/>
    <w:rsid w:val="00FB2E48"/>
    <w:rsid w:val="00FB6D79"/>
    <w:rsid w:val="00FB6E57"/>
    <w:rsid w:val="00FD58BD"/>
    <w:rsid w:val="00FE1880"/>
    <w:rsid w:val="00FE349E"/>
    <w:rsid w:val="00FE5311"/>
    <w:rsid w:val="00FF46FD"/>
    <w:rsid w:val="00FF6B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809A7"/>
  <w15:chartTrackingRefBased/>
  <w15:docId w15:val="{8B237B36-D398-48F2-86ED-9716C6D4B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41F4F"/>
    <w:pPr>
      <w:spacing w:after="0" w:line="240" w:lineRule="auto"/>
    </w:pPr>
  </w:style>
  <w:style w:type="paragraph" w:customStyle="1" w:styleId="RSCB06BHeadingSub-Section">
    <w:name w:val="RSC B06 B Heading (Sub-Section)"/>
    <w:link w:val="RSCB06BHeadingSub-SectionChar"/>
    <w:qFormat/>
    <w:rsid w:val="005F171A"/>
    <w:pPr>
      <w:spacing w:after="80" w:line="240" w:lineRule="exact"/>
    </w:pPr>
    <w:rPr>
      <w:rFonts w:ascii="Calibri" w:eastAsia="Calibri" w:hAnsi="Calibri" w:cs="Times New Roman"/>
      <w:b/>
      <w:sz w:val="18"/>
      <w:lang w:val="en-GB"/>
    </w:rPr>
  </w:style>
  <w:style w:type="character" w:customStyle="1" w:styleId="RSCB06BHeadingSub-SectionChar">
    <w:name w:val="RSC B06 B Heading (Sub-Section) Char"/>
    <w:link w:val="RSCB06BHeadingSub-Section"/>
    <w:rsid w:val="005F171A"/>
    <w:rPr>
      <w:rFonts w:ascii="Calibri" w:eastAsia="Calibri" w:hAnsi="Calibri" w:cs="Times New Roman"/>
      <w:b/>
      <w:sz w:val="18"/>
      <w:lang w:val="en-GB"/>
    </w:rPr>
  </w:style>
  <w:style w:type="character" w:styleId="Hyperlink">
    <w:name w:val="Hyperlink"/>
    <w:basedOn w:val="DefaultParagraphFont"/>
    <w:uiPriority w:val="99"/>
    <w:unhideWhenUsed/>
    <w:rsid w:val="00DE372C"/>
    <w:rPr>
      <w:color w:val="0563C1" w:themeColor="hyperlink"/>
      <w:u w:val="single"/>
    </w:rPr>
  </w:style>
  <w:style w:type="paragraph" w:styleId="NormalWeb">
    <w:name w:val="Normal (Web)"/>
    <w:basedOn w:val="Normal"/>
    <w:uiPriority w:val="99"/>
    <w:semiHidden/>
    <w:unhideWhenUsed/>
    <w:rsid w:val="0031684C"/>
    <w:pPr>
      <w:spacing w:before="100" w:beforeAutospacing="1" w:after="100" w:afterAutospacing="1" w:line="240" w:lineRule="auto"/>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8D2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2090"/>
    <w:rPr>
      <w:rFonts w:ascii="Segoe UI" w:hAnsi="Segoe UI" w:cs="Segoe UI"/>
      <w:sz w:val="18"/>
      <w:szCs w:val="18"/>
    </w:rPr>
  </w:style>
  <w:style w:type="paragraph" w:styleId="FootnoteText">
    <w:name w:val="footnote text"/>
    <w:basedOn w:val="Normal"/>
    <w:link w:val="FootnoteTextChar"/>
    <w:uiPriority w:val="99"/>
    <w:semiHidden/>
    <w:unhideWhenUsed/>
    <w:rsid w:val="005804C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804C1"/>
    <w:rPr>
      <w:sz w:val="20"/>
      <w:szCs w:val="20"/>
    </w:rPr>
  </w:style>
  <w:style w:type="character" w:styleId="FootnoteReference">
    <w:name w:val="footnote reference"/>
    <w:basedOn w:val="DefaultParagraphFont"/>
    <w:uiPriority w:val="99"/>
    <w:semiHidden/>
    <w:unhideWhenUsed/>
    <w:rsid w:val="005804C1"/>
    <w:rPr>
      <w:vertAlign w:val="superscript"/>
    </w:rPr>
  </w:style>
  <w:style w:type="table" w:styleId="TableGrid">
    <w:name w:val="Table Grid"/>
    <w:basedOn w:val="TableNormal"/>
    <w:uiPriority w:val="39"/>
    <w:rsid w:val="006729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6729A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9D39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5069C2-0645-4F00-B7CF-D26F2B954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4233</Words>
  <Characters>24131</Characters>
  <Application>Microsoft Office Word</Application>
  <DocSecurity>0</DocSecurity>
  <Lines>201</Lines>
  <Paragraphs>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 Company</Company>
  <LinksUpToDate>false</LinksUpToDate>
  <CharactersWithSpaces>28308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Margarita</dc:creator>
  <cp:keywords/>
  <dc:description/>
  <cp:lastModifiedBy>Margarita Stoytcheva</cp:lastModifiedBy>
  <cp:revision>5</cp:revision>
  <cp:lastPrinted>2016-11-14T18:15:00Z</cp:lastPrinted>
  <dcterms:created xsi:type="dcterms:W3CDTF">2019-03-19T19:52:00Z</dcterms:created>
  <dcterms:modified xsi:type="dcterms:W3CDTF">2019-03-19T19:58:00Z</dcterms:modified>
</cp:coreProperties>
</file>